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630F47" w:rsidRDefault="00630F47"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630F47" w:rsidRDefault="00630F47" w:rsidP="003B7E6C">
            <w:pPr>
              <w:jc w:val="right"/>
            </w:pPr>
          </w:p>
          <w:p w:rsidR="006E67DC" w:rsidRDefault="006E67DC" w:rsidP="003B7E6C">
            <w:pPr>
              <w:jc w:val="right"/>
            </w:pPr>
          </w:p>
          <w:p w:rsidR="00630F47" w:rsidRDefault="00630F47" w:rsidP="003B7E6C">
            <w:pPr>
              <w:jc w:val="right"/>
            </w:pPr>
          </w:p>
          <w:p w:rsidR="00630F47" w:rsidRDefault="00630F47" w:rsidP="003B7E6C">
            <w:pPr>
              <w:jc w:val="right"/>
            </w:pPr>
          </w:p>
          <w:p w:rsidR="00940E63" w:rsidRDefault="00940E63" w:rsidP="001F780C">
            <w:pPr>
              <w:tabs>
                <w:tab w:val="left" w:pos="2850"/>
                <w:tab w:val="left" w:pos="5040"/>
              </w:tabs>
              <w:jc w:val="right"/>
              <w:rPr>
                <w:rFonts w:ascii="Arial" w:hAnsi="Arial" w:cs="Arial"/>
                <w:color w:val="004990"/>
                <w:sz w:val="16"/>
                <w:szCs w:val="16"/>
              </w:rPr>
            </w:pPr>
          </w:p>
          <w:p w:rsidR="00724728" w:rsidRDefault="00724728" w:rsidP="001F780C">
            <w:pPr>
              <w:tabs>
                <w:tab w:val="left" w:pos="2850"/>
                <w:tab w:val="left" w:pos="5040"/>
              </w:tabs>
              <w:jc w:val="right"/>
              <w:rPr>
                <w:rFonts w:ascii="Arial" w:hAnsi="Arial" w:cs="Arial"/>
                <w:color w:val="004990"/>
                <w:sz w:val="16"/>
                <w:szCs w:val="16"/>
              </w:rPr>
            </w:pPr>
          </w:p>
          <w:p w:rsidR="00724728" w:rsidRDefault="00724728" w:rsidP="001F780C">
            <w:pPr>
              <w:tabs>
                <w:tab w:val="left" w:pos="2850"/>
                <w:tab w:val="left" w:pos="5040"/>
              </w:tabs>
              <w:jc w:val="right"/>
              <w:rPr>
                <w:rFonts w:ascii="Arial" w:hAnsi="Arial" w:cs="Arial"/>
                <w:color w:val="004990"/>
                <w:sz w:val="16"/>
                <w:szCs w:val="16"/>
              </w:rPr>
            </w:pPr>
          </w:p>
          <w:p w:rsidR="00724728" w:rsidRDefault="00724728" w:rsidP="001F780C">
            <w:pPr>
              <w:tabs>
                <w:tab w:val="left" w:pos="2850"/>
                <w:tab w:val="left" w:pos="5040"/>
              </w:tabs>
              <w:jc w:val="right"/>
              <w:rPr>
                <w:rFonts w:ascii="Arial" w:hAnsi="Arial" w:cs="Arial"/>
                <w:color w:val="004990"/>
                <w:sz w:val="16"/>
                <w:szCs w:val="16"/>
              </w:rPr>
            </w:pPr>
          </w:p>
          <w:p w:rsidR="00724728" w:rsidRPr="00607E86" w:rsidRDefault="00724728"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296938" w:rsidRPr="004E3B1F" w:rsidRDefault="00940E63" w:rsidP="00341A9D">
      <w:pPr>
        <w:jc w:val="center"/>
        <w:rPr>
          <w:sz w:val="26"/>
          <w:szCs w:val="26"/>
        </w:rPr>
      </w:pPr>
      <w:r>
        <w:rPr>
          <w:sz w:val="26"/>
          <w:szCs w:val="26"/>
        </w:rPr>
        <w:t xml:space="preserve">на </w:t>
      </w:r>
      <w:r w:rsidR="00724728" w:rsidRPr="00724728">
        <w:rPr>
          <w:sz w:val="26"/>
          <w:szCs w:val="26"/>
        </w:rPr>
        <w:t>капитальн</w:t>
      </w:r>
      <w:r w:rsidR="00724728">
        <w:rPr>
          <w:sz w:val="26"/>
          <w:szCs w:val="26"/>
        </w:rPr>
        <w:t>ый</w:t>
      </w:r>
      <w:r w:rsidR="00724728" w:rsidRPr="00724728">
        <w:rPr>
          <w:sz w:val="26"/>
          <w:szCs w:val="26"/>
        </w:rPr>
        <w:t xml:space="preserve"> ремонт и демонтаж фундаментов АМС, металлоконструкций, </w:t>
      </w:r>
      <w:proofErr w:type="spellStart"/>
      <w:r w:rsidR="00724728" w:rsidRPr="00724728">
        <w:rPr>
          <w:sz w:val="26"/>
          <w:szCs w:val="26"/>
        </w:rPr>
        <w:t>тяжению</w:t>
      </w:r>
      <w:proofErr w:type="spellEnd"/>
      <w:r w:rsidR="00724728" w:rsidRPr="00724728">
        <w:rPr>
          <w:sz w:val="26"/>
          <w:szCs w:val="26"/>
        </w:rPr>
        <w:t xml:space="preserve"> оттяжек мачты с доведением до нормы</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E67DC">
        <w:rPr>
          <w:iCs/>
        </w:rPr>
        <w:t>29</w:t>
      </w:r>
      <w:r w:rsidRPr="00F84878">
        <w:rPr>
          <w:iCs/>
        </w:rPr>
        <w:t xml:space="preserve">» </w:t>
      </w:r>
      <w:r w:rsidR="00296938">
        <w:rPr>
          <w:iCs/>
        </w:rPr>
        <w:t>ма</w:t>
      </w:r>
      <w:r w:rsidR="00724728">
        <w:rPr>
          <w:iCs/>
        </w:rPr>
        <w:t>я</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proofErr w:type="spellStart"/>
        <w:r w:rsidR="00511929" w:rsidRPr="00286724">
          <w:rPr>
            <w:rStyle w:val="a9"/>
            <w:rFonts w:eastAsia="Times New Roman"/>
            <w:lang w:val="en-US" w:eastAsia="ru-RU"/>
          </w:rPr>
          <w:t>setonline</w:t>
        </w:r>
        <w:proofErr w:type="spellEnd"/>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8179C5">
        <w:rPr>
          <w:b/>
        </w:rPr>
        <w:t>8</w:t>
      </w:r>
    </w:p>
    <w:p w:rsidR="00724728" w:rsidRDefault="00724728"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на</w:t>
      </w:r>
      <w:r w:rsidR="00724728" w:rsidRPr="00724728">
        <w:t xml:space="preserve"> капитальный ремонт и демонтаж фундаментов АМС, металлоконструкций, </w:t>
      </w:r>
      <w:proofErr w:type="spellStart"/>
      <w:r w:rsidR="00724728" w:rsidRPr="00724728">
        <w:t>тяжению</w:t>
      </w:r>
      <w:proofErr w:type="spellEnd"/>
      <w:r w:rsidR="00724728" w:rsidRPr="00724728">
        <w:t xml:space="preserve"> оттяжек мачты с доведением до нормы</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33D86" w:rsidRDefault="00E33D86" w:rsidP="00220C55">
            <w:pPr>
              <w:pStyle w:val="Default"/>
              <w:jc w:val="both"/>
            </w:pPr>
            <w:r w:rsidRPr="00E33D86">
              <w:t>Николаев Константин Геннадиевич</w:t>
            </w:r>
          </w:p>
          <w:p w:rsidR="00E33D86" w:rsidRPr="001F51A6" w:rsidRDefault="00CA58E1" w:rsidP="008D7CA1">
            <w:pPr>
              <w:autoSpaceDE w:val="0"/>
              <w:autoSpaceDN w:val="0"/>
              <w:adjustRightInd w:val="0"/>
              <w:rPr>
                <w:rFonts w:eastAsia="Calibri"/>
                <w:color w:val="000000"/>
                <w:lang w:eastAsia="en-US"/>
              </w:rPr>
            </w:pPr>
            <w:r w:rsidRPr="00220C55">
              <w:t xml:space="preserve"> </w:t>
            </w:r>
            <w:r w:rsidR="00220C55" w:rsidRPr="00E53D46">
              <w:rPr>
                <w:bCs/>
              </w:rPr>
              <w:t>тел</w:t>
            </w:r>
            <w:r w:rsidR="00220C55" w:rsidRPr="001F51A6">
              <w:rPr>
                <w:bCs/>
              </w:rPr>
              <w:t>. + 7 (347) 221-5</w:t>
            </w:r>
            <w:r w:rsidR="00E33D86" w:rsidRPr="001F51A6">
              <w:rPr>
                <w:bCs/>
              </w:rPr>
              <w:t>7</w:t>
            </w:r>
            <w:r w:rsidR="00220C55" w:rsidRPr="001F51A6">
              <w:rPr>
                <w:bCs/>
              </w:rPr>
              <w:t>-</w:t>
            </w:r>
            <w:r w:rsidR="00E33D86" w:rsidRPr="001F51A6">
              <w:rPr>
                <w:bCs/>
              </w:rPr>
              <w:t>40</w:t>
            </w:r>
            <w:r w:rsidR="00220C55" w:rsidRPr="001F51A6">
              <w:rPr>
                <w:bCs/>
              </w:rPr>
              <w:t xml:space="preserve">, </w:t>
            </w:r>
            <w:r w:rsidR="00220C55" w:rsidRPr="00E53D46">
              <w:rPr>
                <w:bCs/>
                <w:lang w:val="en-US"/>
              </w:rPr>
              <w:t>e</w:t>
            </w:r>
            <w:r w:rsidR="00220C55" w:rsidRPr="001F51A6">
              <w:rPr>
                <w:bCs/>
              </w:rPr>
              <w:t>-</w:t>
            </w:r>
            <w:r w:rsidR="00220C55" w:rsidRPr="00E53D46">
              <w:rPr>
                <w:bCs/>
                <w:lang w:val="en-US"/>
              </w:rPr>
              <w:t>mail</w:t>
            </w:r>
            <w:r w:rsidR="00220C55" w:rsidRPr="001F51A6">
              <w:rPr>
                <w:bCs/>
              </w:rPr>
              <w:t>:</w:t>
            </w:r>
            <w:r w:rsidR="00220C55" w:rsidRPr="001F51A6">
              <w:rPr>
                <w:color w:val="777777"/>
              </w:rPr>
              <w:t xml:space="preserve"> </w:t>
            </w:r>
            <w:hyperlink r:id="rId15" w:history="1">
              <w:r w:rsidR="00E33D86" w:rsidRPr="00E33D86">
                <w:rPr>
                  <w:rStyle w:val="a9"/>
                  <w:rFonts w:eastAsia="Calibri"/>
                  <w:lang w:val="en-US" w:eastAsia="en-US"/>
                </w:rPr>
                <w:t>k</w:t>
              </w:r>
              <w:r w:rsidR="00E33D86" w:rsidRPr="001F51A6">
                <w:rPr>
                  <w:rStyle w:val="a9"/>
                  <w:rFonts w:eastAsia="Calibri"/>
                  <w:lang w:eastAsia="en-US"/>
                </w:rPr>
                <w:t>.</w:t>
              </w:r>
              <w:r w:rsidR="00E33D86" w:rsidRPr="00E33D86">
                <w:rPr>
                  <w:rStyle w:val="a9"/>
                  <w:rFonts w:eastAsia="Calibri"/>
                  <w:lang w:val="en-US" w:eastAsia="en-US"/>
                </w:rPr>
                <w:t>nikolaev</w:t>
              </w:r>
              <w:r w:rsidR="00E33D86" w:rsidRPr="001F51A6">
                <w:rPr>
                  <w:rStyle w:val="a9"/>
                  <w:rFonts w:eastAsia="Calibri"/>
                  <w:lang w:eastAsia="en-US"/>
                </w:rPr>
                <w:t>@</w:t>
              </w:r>
              <w:r w:rsidR="00E33D86" w:rsidRPr="00E33D86">
                <w:rPr>
                  <w:rStyle w:val="a9"/>
                  <w:rFonts w:eastAsia="Calibri"/>
                  <w:lang w:val="en-US" w:eastAsia="en-US"/>
                </w:rPr>
                <w:t>bashtel</w:t>
              </w:r>
              <w:r w:rsidR="00E33D86" w:rsidRPr="001F51A6">
                <w:rPr>
                  <w:rStyle w:val="a9"/>
                  <w:rFonts w:eastAsia="Calibri"/>
                  <w:lang w:eastAsia="en-US"/>
                </w:rPr>
                <w:t>.</w:t>
              </w:r>
              <w:proofErr w:type="spellStart"/>
              <w:r w:rsidR="00E33D86" w:rsidRPr="00E33D86">
                <w:rPr>
                  <w:rStyle w:val="a9"/>
                  <w:rFonts w:eastAsia="Calibri"/>
                  <w:lang w:val="en-US" w:eastAsia="en-US"/>
                </w:rPr>
                <w:t>ru</w:t>
              </w:r>
              <w:proofErr w:type="spellEnd"/>
            </w:hyperlink>
          </w:p>
          <w:p w:rsidR="008D7CA1" w:rsidRPr="00220C55" w:rsidRDefault="008D7CA1" w:rsidP="00E33D86">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E33D86" w:rsidRPr="00FB047F">
              <w:t>на</w:t>
            </w:r>
            <w:r w:rsidR="00E33D86" w:rsidRPr="00724728">
              <w:t xml:space="preserve"> капитальный ремонт и демонтаж фундаментов АМС, металлоконструкций, </w:t>
            </w:r>
            <w:proofErr w:type="spellStart"/>
            <w:r w:rsidR="00E33D86" w:rsidRPr="00724728">
              <w:t>тяжению</w:t>
            </w:r>
            <w:proofErr w:type="spellEnd"/>
            <w:r w:rsidR="00E33D86" w:rsidRPr="00724728">
              <w:t xml:space="preserve"> оттяжек мачты с доведением до нормы</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sidR="00DB14C4">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E33D86">
              <w:fldChar w:fldCharType="begin"/>
            </w:r>
            <w:r w:rsidR="00E33D86">
              <w:instrText xml:space="preserve"> HYPERLINK \l "_РАЗДЕЛ_V._Проект" </w:instrText>
            </w:r>
            <w:r w:rsidR="00E33D86">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E33D86">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7F784B" w:rsidRPr="007F784B">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sidR="00E33D86">
              <w:rPr>
                <w:iCs/>
              </w:rPr>
              <w:t>3 600</w:t>
            </w:r>
            <w:r w:rsidR="00296938">
              <w:rPr>
                <w:iCs/>
              </w:rPr>
              <w:t xml:space="preserve"> </w:t>
            </w:r>
            <w:r w:rsidR="00296938" w:rsidRPr="00296938">
              <w:rPr>
                <w:iCs/>
              </w:rPr>
              <w:t>000</w:t>
            </w:r>
            <w:r>
              <w:rPr>
                <w:iCs/>
              </w:rPr>
              <w:t>,00 рублей</w:t>
            </w:r>
            <w:r w:rsidRPr="0000602B">
              <w:rPr>
                <w:iCs/>
              </w:rPr>
              <w:t xml:space="preserve"> (</w:t>
            </w:r>
            <w:r w:rsidR="00E33D86">
              <w:rPr>
                <w:iCs/>
              </w:rPr>
              <w:t>Три</w:t>
            </w:r>
            <w:r w:rsidR="00296938">
              <w:rPr>
                <w:iCs/>
              </w:rPr>
              <w:t xml:space="preserve"> </w:t>
            </w:r>
            <w:r>
              <w:rPr>
                <w:iCs/>
              </w:rPr>
              <w:t>миллион</w:t>
            </w:r>
            <w:r w:rsidR="00E33D86">
              <w:rPr>
                <w:iCs/>
              </w:rPr>
              <w:t>а</w:t>
            </w:r>
            <w:r>
              <w:rPr>
                <w:iCs/>
              </w:rPr>
              <w:t xml:space="preserve"> </w:t>
            </w:r>
            <w:r w:rsidR="00E33D86">
              <w:rPr>
                <w:iCs/>
              </w:rPr>
              <w:t xml:space="preserve">шестьсот </w:t>
            </w:r>
            <w:r w:rsidR="00296938">
              <w:rPr>
                <w:iCs/>
              </w:rPr>
              <w:t xml:space="preserve">тысяч </w:t>
            </w:r>
            <w:r>
              <w:rPr>
                <w:iCs/>
              </w:rPr>
              <w:t>рублей 00 копеек)</w:t>
            </w:r>
            <w:r w:rsidRPr="0000602B">
              <w:rPr>
                <w:iCs/>
              </w:rPr>
              <w:t xml:space="preserve">, в том числе сумма НДС (18%) </w:t>
            </w:r>
            <w:r w:rsidR="00E33D86">
              <w:rPr>
                <w:iCs/>
              </w:rPr>
              <w:t>549 152,54</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042B03">
              <w:rPr>
                <w:iCs/>
              </w:rPr>
              <w:t>3 050 847</w:t>
            </w:r>
            <w:r>
              <w:rPr>
                <w:iCs/>
              </w:rPr>
              <w:t>,</w:t>
            </w:r>
            <w:r w:rsidR="00042B03">
              <w:rPr>
                <w:iCs/>
              </w:rPr>
              <w:t>46</w:t>
            </w:r>
            <w:r>
              <w:rPr>
                <w:iCs/>
              </w:rPr>
              <w:t xml:space="preserve"> рублей (</w:t>
            </w:r>
            <w:r w:rsidR="00EF4F01">
              <w:rPr>
                <w:iCs/>
              </w:rPr>
              <w:t xml:space="preserve">Три </w:t>
            </w:r>
            <w:r>
              <w:rPr>
                <w:iCs/>
              </w:rPr>
              <w:t>миллион</w:t>
            </w:r>
            <w:r w:rsidR="00EF4F01">
              <w:rPr>
                <w:iCs/>
              </w:rPr>
              <w:t xml:space="preserve">а пятьдесят тысяч восемьсот сорок семь </w:t>
            </w:r>
            <w:r w:rsidRPr="0000602B">
              <w:rPr>
                <w:iCs/>
              </w:rPr>
              <w:t>рублей</w:t>
            </w:r>
            <w:r w:rsidR="00EF4F01">
              <w:rPr>
                <w:iCs/>
              </w:rPr>
              <w:t xml:space="preserve"> 46 копеек</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proofErr w:type="spellStart"/>
              <w:r w:rsidR="00511929" w:rsidRPr="00286724">
                <w:rPr>
                  <w:rStyle w:val="a9"/>
                  <w:rFonts w:eastAsia="Times New Roman"/>
                  <w:lang w:val="en-US" w:eastAsia="ru-RU"/>
                </w:rPr>
                <w:t>setonline</w:t>
              </w:r>
              <w:proofErr w:type="spellEnd"/>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1F51A6">
              <w:rPr>
                <w:iCs/>
              </w:rPr>
              <w:t>9</w:t>
            </w:r>
            <w:r w:rsidRPr="00922226">
              <w:rPr>
                <w:iCs/>
              </w:rPr>
              <w:t xml:space="preserve">» </w:t>
            </w:r>
            <w:r w:rsidR="008179C5">
              <w:rPr>
                <w:iCs/>
              </w:rPr>
              <w:t>ма</w:t>
            </w:r>
            <w:r w:rsidR="00EF4F01">
              <w:rPr>
                <w:iCs/>
              </w:rPr>
              <w:t>я</w:t>
            </w:r>
            <w:r w:rsidRPr="00922226">
              <w:rPr>
                <w:iCs/>
              </w:rPr>
              <w:t xml:space="preserve"> 201</w:t>
            </w:r>
            <w:r w:rsidR="008179C5">
              <w:rPr>
                <w:iCs/>
              </w:rPr>
              <w:t>8</w:t>
            </w:r>
            <w:r w:rsidRPr="00922226">
              <w:rPr>
                <w:iCs/>
              </w:rPr>
              <w:t xml:space="preserve"> года 1</w:t>
            </w:r>
            <w:r w:rsidR="006E67DC">
              <w:rPr>
                <w:iCs/>
              </w:rPr>
              <w:t>0</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1F51A6">
            <w:pPr>
              <w:pStyle w:val="Default"/>
              <w:jc w:val="both"/>
              <w:rPr>
                <w:iCs/>
              </w:rPr>
            </w:pPr>
            <w:r w:rsidRPr="00D52224">
              <w:rPr>
                <w:rFonts w:eastAsia="Times New Roman"/>
              </w:rPr>
              <w:t>«</w:t>
            </w:r>
            <w:r w:rsidR="00EF4F01">
              <w:rPr>
                <w:rFonts w:eastAsia="Times New Roman"/>
              </w:rPr>
              <w:t>1</w:t>
            </w:r>
            <w:r w:rsidR="001F51A6">
              <w:rPr>
                <w:rFonts w:eastAsia="Times New Roman"/>
              </w:rPr>
              <w:t>9</w:t>
            </w:r>
            <w:r w:rsidRPr="00D52224">
              <w:rPr>
                <w:rFonts w:eastAsia="Times New Roman"/>
              </w:rPr>
              <w:t xml:space="preserve">» </w:t>
            </w:r>
            <w:r w:rsidR="00EF4F01">
              <w:rPr>
                <w:rFonts w:eastAsia="Times New Roman"/>
              </w:rPr>
              <w:t>июня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F4F01" w:rsidP="001F51A6">
            <w:pPr>
              <w:pStyle w:val="Default"/>
              <w:rPr>
                <w:iCs/>
              </w:rPr>
            </w:pPr>
            <w:r w:rsidRPr="00D52224">
              <w:rPr>
                <w:rFonts w:eastAsia="Times New Roman"/>
              </w:rPr>
              <w:t>«</w:t>
            </w:r>
            <w:r>
              <w:rPr>
                <w:rFonts w:eastAsia="Times New Roman"/>
              </w:rPr>
              <w:t>1</w:t>
            </w:r>
            <w:r w:rsidR="001F51A6">
              <w:rPr>
                <w:rFonts w:eastAsia="Times New Roman"/>
              </w:rPr>
              <w:t>9</w:t>
            </w:r>
            <w:r w:rsidRPr="00D52224">
              <w:rPr>
                <w:rFonts w:eastAsia="Times New Roman"/>
              </w:rPr>
              <w:t xml:space="preserve">» </w:t>
            </w:r>
            <w:r>
              <w:rPr>
                <w:rFonts w:eastAsia="Times New Roman"/>
              </w:rPr>
              <w:t>июня</w:t>
            </w:r>
            <w:r w:rsidRPr="00D52224">
              <w:rPr>
                <w:rFonts w:eastAsia="Times New Roman"/>
              </w:rPr>
              <w:t xml:space="preserve"> </w:t>
            </w:r>
            <w:r w:rsidR="008179C5" w:rsidRPr="008179C5">
              <w:rPr>
                <w:rFonts w:eastAsia="Times New Roman"/>
              </w:rPr>
              <w:t xml:space="preserve">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511929" w:rsidRPr="00D52224">
              <w:t>«</w:t>
            </w:r>
            <w:r w:rsidR="00511929">
              <w:t>2</w:t>
            </w:r>
            <w:r w:rsidR="00EF4F01">
              <w:t>6</w:t>
            </w:r>
            <w:r w:rsidR="00511929" w:rsidRPr="00D52224">
              <w:t xml:space="preserve">» </w:t>
            </w:r>
            <w:r w:rsidR="00EF4F01">
              <w:t>июня</w:t>
            </w:r>
            <w:r w:rsidR="00511929" w:rsidRPr="00D52224">
              <w:t xml:space="preserve"> 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F4F01" w:rsidRPr="00EF4F01">
              <w:t xml:space="preserve">«26» июня </w:t>
            </w:r>
            <w:r w:rsidR="00511929" w:rsidRPr="00D52224">
              <w:t>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EF4F01">
              <w:t>10</w:t>
            </w:r>
            <w:r w:rsidRPr="00922226">
              <w:t xml:space="preserve">» </w:t>
            </w:r>
            <w:r w:rsidR="00EF4F01">
              <w:t>июля</w:t>
            </w:r>
            <w:r w:rsidR="00EC5B2D" w:rsidRPr="00922226">
              <w:rPr>
                <w:iCs/>
              </w:rPr>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proofErr w:type="spellStart"/>
              <w:r w:rsidR="00511929" w:rsidRPr="00286724">
                <w:rPr>
                  <w:rStyle w:val="a9"/>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72B1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72B1C">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72B1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6E67DC"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0"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4189F" w:rsidRPr="0054189F" w:rsidRDefault="0054189F" w:rsidP="0054189F">
            <w:pPr>
              <w:autoSpaceDE w:val="0"/>
              <w:autoSpaceDN w:val="0"/>
              <w:adjustRightInd w:val="0"/>
              <w:jc w:val="both"/>
              <w:rPr>
                <w:rFonts w:eastAsia="Calibri"/>
                <w:color w:val="000000"/>
                <w:lang w:eastAsia="en-US"/>
              </w:rPr>
            </w:pPr>
            <w:r w:rsidRPr="0054189F">
              <w:rPr>
                <w:rFonts w:eastAsia="Calibri"/>
                <w:color w:val="000000"/>
                <w:lang w:eastAsia="en-US"/>
              </w:rPr>
              <w:t>Николаев Константин Геннадиевич</w:t>
            </w:r>
          </w:p>
          <w:p w:rsidR="0054189F" w:rsidRPr="0054189F" w:rsidRDefault="0054189F" w:rsidP="0054189F">
            <w:pPr>
              <w:autoSpaceDE w:val="0"/>
              <w:autoSpaceDN w:val="0"/>
              <w:adjustRightInd w:val="0"/>
              <w:rPr>
                <w:rFonts w:eastAsia="Calibri"/>
                <w:color w:val="000000"/>
                <w:lang w:eastAsia="en-US"/>
              </w:rPr>
            </w:pPr>
            <w:r w:rsidRPr="0054189F">
              <w:t xml:space="preserve"> </w:t>
            </w:r>
            <w:r w:rsidRPr="0054189F">
              <w:rPr>
                <w:bCs/>
              </w:rPr>
              <w:t xml:space="preserve">тел. + 7 (347) 221-57-40, </w:t>
            </w:r>
            <w:r w:rsidRPr="0054189F">
              <w:rPr>
                <w:bCs/>
                <w:lang w:val="en-US"/>
              </w:rPr>
              <w:t>e</w:t>
            </w:r>
            <w:r w:rsidRPr="0054189F">
              <w:rPr>
                <w:bCs/>
              </w:rPr>
              <w:t>-</w:t>
            </w:r>
            <w:r w:rsidRPr="0054189F">
              <w:rPr>
                <w:bCs/>
                <w:lang w:val="en-US"/>
              </w:rPr>
              <w:t>mail</w:t>
            </w:r>
            <w:r w:rsidRPr="0054189F">
              <w:rPr>
                <w:bCs/>
              </w:rPr>
              <w:t>:</w:t>
            </w:r>
            <w:r w:rsidRPr="0054189F">
              <w:rPr>
                <w:color w:val="777777"/>
              </w:rPr>
              <w:t xml:space="preserve"> </w:t>
            </w:r>
            <w:hyperlink r:id="rId31" w:history="1">
              <w:r w:rsidRPr="0054189F">
                <w:rPr>
                  <w:rFonts w:eastAsia="Calibri"/>
                  <w:color w:val="0000FF"/>
                  <w:u w:val="single"/>
                  <w:lang w:val="en-US" w:eastAsia="en-US"/>
                </w:rPr>
                <w:t>k</w:t>
              </w:r>
              <w:r w:rsidRPr="0054189F">
                <w:rPr>
                  <w:rFonts w:eastAsia="Calibri"/>
                  <w:color w:val="0000FF"/>
                  <w:u w:val="single"/>
                  <w:lang w:eastAsia="en-US"/>
                </w:rPr>
                <w:t>.</w:t>
              </w:r>
              <w:r w:rsidRPr="0054189F">
                <w:rPr>
                  <w:rFonts w:eastAsia="Calibri"/>
                  <w:color w:val="0000FF"/>
                  <w:u w:val="single"/>
                  <w:lang w:val="en-US" w:eastAsia="en-US"/>
                </w:rPr>
                <w:t>nikolaev</w:t>
              </w:r>
              <w:r w:rsidRPr="0054189F">
                <w:rPr>
                  <w:rFonts w:eastAsia="Calibri"/>
                  <w:color w:val="0000FF"/>
                  <w:u w:val="single"/>
                  <w:lang w:eastAsia="en-US"/>
                </w:rPr>
                <w:t>@</w:t>
              </w:r>
              <w:r w:rsidRPr="0054189F">
                <w:rPr>
                  <w:rFonts w:eastAsia="Calibri"/>
                  <w:color w:val="0000FF"/>
                  <w:u w:val="single"/>
                  <w:lang w:val="en-US" w:eastAsia="en-US"/>
                </w:rPr>
                <w:t>bashtel</w:t>
              </w:r>
              <w:r w:rsidRPr="0054189F">
                <w:rPr>
                  <w:rFonts w:eastAsia="Calibri"/>
                  <w:color w:val="0000FF"/>
                  <w:u w:val="single"/>
                  <w:lang w:eastAsia="en-US"/>
                </w:rPr>
                <w:t>.</w:t>
              </w:r>
              <w:r w:rsidRPr="0054189F">
                <w:rPr>
                  <w:rFonts w:eastAsia="Calibri"/>
                  <w:color w:val="0000FF"/>
                  <w:u w:val="single"/>
                  <w:lang w:val="en-US" w:eastAsia="en-US"/>
                </w:rPr>
                <w:t>ru</w:t>
              </w:r>
            </w:hyperlink>
          </w:p>
          <w:p w:rsidR="00341A9D" w:rsidRPr="00251B5F" w:rsidRDefault="00341A9D" w:rsidP="008D7CA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proofErr w:type="spellStart"/>
              <w:r w:rsidR="00511929" w:rsidRPr="00286724">
                <w:rPr>
                  <w:rStyle w:val="a9"/>
                  <w:lang w:val="en-US"/>
                </w:rPr>
                <w:t>setonline</w:t>
              </w:r>
              <w:proofErr w:type="spellEnd"/>
              <w:r w:rsidR="00511929" w:rsidRPr="00286724">
                <w:rPr>
                  <w:rStyle w:val="a9"/>
                </w:rPr>
                <w:t>.</w:t>
              </w:r>
              <w:proofErr w:type="spellStart"/>
              <w:r w:rsidR="00511929" w:rsidRPr="00286724">
                <w:rPr>
                  <w:rStyle w:val="a9"/>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F51A6">
            <w:r w:rsidRPr="005C24A0">
              <w:t>«</w:t>
            </w:r>
            <w:r w:rsidR="00986C51">
              <w:t>2</w:t>
            </w:r>
            <w:r w:rsidR="001F51A6">
              <w:t>9</w:t>
            </w:r>
            <w:r w:rsidRPr="005C24A0">
              <w:t>»</w:t>
            </w:r>
            <w:r w:rsidR="004E1E0B">
              <w:t xml:space="preserve"> </w:t>
            </w:r>
            <w:r w:rsidR="00511929">
              <w:t>ма</w:t>
            </w:r>
            <w:r w:rsidR="0054189F">
              <w:t xml:space="preserve">я </w:t>
            </w:r>
            <w:r w:rsidRPr="005C24A0">
              <w:t>20</w:t>
            </w:r>
            <w:r w:rsidR="004E1E0B">
              <w:t>1</w:t>
            </w:r>
            <w:r w:rsidR="00511929">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proofErr w:type="spellStart"/>
              <w:r w:rsidR="00511929" w:rsidRPr="00286724">
                <w:rPr>
                  <w:rStyle w:val="a9"/>
                  <w:lang w:val="en-US"/>
                </w:rPr>
                <w:t>setonline</w:t>
              </w:r>
              <w:proofErr w:type="spellEnd"/>
              <w:r w:rsidR="00511929" w:rsidRPr="00286724">
                <w:rPr>
                  <w:rStyle w:val="a9"/>
                </w:rPr>
                <w:t>.</w:t>
              </w:r>
              <w:proofErr w:type="spellStart"/>
              <w:r w:rsidR="00511929" w:rsidRPr="00286724">
                <w:rPr>
                  <w:rStyle w:val="a9"/>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54189F" w:rsidRPr="00922226" w:rsidRDefault="0054189F" w:rsidP="0054189F">
            <w:pPr>
              <w:suppressAutoHyphens/>
              <w:jc w:val="both"/>
            </w:pPr>
            <w:r w:rsidRPr="00922226">
              <w:t xml:space="preserve">Дата начала срока: </w:t>
            </w:r>
            <w:r w:rsidRPr="00922226">
              <w:rPr>
                <w:iCs/>
              </w:rPr>
              <w:t>«</w:t>
            </w:r>
            <w:r>
              <w:rPr>
                <w:iCs/>
              </w:rPr>
              <w:t>2</w:t>
            </w:r>
            <w:r w:rsidR="001F51A6">
              <w:rPr>
                <w:iCs/>
              </w:rPr>
              <w:t>9</w:t>
            </w:r>
            <w:r w:rsidRPr="00922226">
              <w:rPr>
                <w:iCs/>
              </w:rPr>
              <w:t xml:space="preserve">» </w:t>
            </w:r>
            <w:r>
              <w:rPr>
                <w:iCs/>
              </w:rPr>
              <w:t>мая</w:t>
            </w:r>
            <w:r w:rsidRPr="00922226">
              <w:rPr>
                <w:iCs/>
              </w:rPr>
              <w:t xml:space="preserve"> 201</w:t>
            </w:r>
            <w:r>
              <w:rPr>
                <w:iCs/>
              </w:rPr>
              <w:t>8</w:t>
            </w:r>
            <w:r w:rsidRPr="00922226">
              <w:rPr>
                <w:iCs/>
              </w:rPr>
              <w:t xml:space="preserve"> года 1</w:t>
            </w:r>
            <w:r w:rsidR="006E67DC">
              <w:rPr>
                <w:iCs/>
              </w:rPr>
              <w:t>0</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4189F" w:rsidRDefault="0054189F" w:rsidP="0054189F">
            <w:pPr>
              <w:suppressAutoHyphens/>
            </w:pPr>
          </w:p>
          <w:p w:rsidR="0054189F" w:rsidRPr="00D52224" w:rsidRDefault="0054189F" w:rsidP="0054189F">
            <w:pPr>
              <w:suppressAutoHyphens/>
            </w:pPr>
            <w:r w:rsidRPr="00D52224">
              <w:t>Дата окончания срока</w:t>
            </w:r>
            <w:r>
              <w:t>,</w:t>
            </w:r>
            <w:r w:rsidRPr="00D52224">
              <w:t xml:space="preserve"> последний день срока подачи Заявок:</w:t>
            </w:r>
          </w:p>
          <w:p w:rsidR="004E1E0B" w:rsidRPr="005C24A0" w:rsidRDefault="0054189F" w:rsidP="001F51A6">
            <w:r w:rsidRPr="00D52224">
              <w:t>«</w:t>
            </w:r>
            <w:r>
              <w:t>1</w:t>
            </w:r>
            <w:r w:rsidR="001F51A6">
              <w:t>9</w:t>
            </w:r>
            <w:r w:rsidRPr="00D52224">
              <w:t xml:space="preserve">» </w:t>
            </w:r>
            <w:r>
              <w:t>июня</w:t>
            </w:r>
            <w:r w:rsidRPr="00D52224">
              <w:t xml:space="preserve"> 20</w:t>
            </w:r>
            <w:r>
              <w:t>18 года 12:00 часов (время московское</w:t>
            </w:r>
            <w:r w:rsidRPr="00D52224">
              <w:t>)</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A18FE" w:rsidP="004E1E0B">
            <w:r w:rsidRPr="000A18FE">
              <w:t>«</w:t>
            </w:r>
            <w:r w:rsidR="0054189F">
              <w:t>1</w:t>
            </w:r>
            <w:r w:rsidR="001F51A6">
              <w:t>9</w:t>
            </w:r>
            <w:r w:rsidR="0054189F" w:rsidRPr="00D52224">
              <w:t xml:space="preserve">» </w:t>
            </w:r>
            <w:r w:rsidR="0054189F">
              <w:t>июня</w:t>
            </w:r>
            <w:r w:rsidR="0054189F" w:rsidRPr="00D52224">
              <w:t xml:space="preserve"> </w:t>
            </w:r>
            <w:r w:rsidRPr="000A18FE">
              <w:t>2018</w:t>
            </w:r>
            <w:r>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4189F" w:rsidRPr="00922226" w:rsidRDefault="0054189F" w:rsidP="0054189F">
            <w:r w:rsidRPr="00922226">
              <w:rPr>
                <w:b/>
              </w:rPr>
              <w:t>Рассмотрение Заявок</w:t>
            </w:r>
            <w:r w:rsidRPr="00922226">
              <w:t xml:space="preserve">: </w:t>
            </w:r>
            <w:r w:rsidRPr="00D52224">
              <w:t>«</w:t>
            </w:r>
            <w:r>
              <w:t>26</w:t>
            </w:r>
            <w:r w:rsidRPr="00D52224">
              <w:t xml:space="preserve">» </w:t>
            </w:r>
            <w:r>
              <w:t>июня</w:t>
            </w:r>
            <w:r w:rsidRPr="00D52224">
              <w:t xml:space="preserve"> 20</w:t>
            </w:r>
            <w:r>
              <w:t xml:space="preserve">18 </w:t>
            </w:r>
            <w:r w:rsidRPr="00922226">
              <w:t>года в 14 часов 00 минут по местному времени</w:t>
            </w:r>
          </w:p>
          <w:p w:rsidR="0054189F" w:rsidRPr="00922226" w:rsidRDefault="0054189F" w:rsidP="0054189F">
            <w:pPr>
              <w:rPr>
                <w:sz w:val="10"/>
                <w:szCs w:val="10"/>
              </w:rPr>
            </w:pPr>
          </w:p>
          <w:p w:rsidR="0054189F" w:rsidRPr="00922226" w:rsidRDefault="0054189F" w:rsidP="0054189F">
            <w:r w:rsidRPr="00922226">
              <w:rPr>
                <w:b/>
              </w:rPr>
              <w:t>Оценка и сопоставление Заявок</w:t>
            </w:r>
            <w:r w:rsidRPr="00922226">
              <w:t xml:space="preserve">: </w:t>
            </w:r>
            <w:r w:rsidRPr="00EF4F01">
              <w:t xml:space="preserve">«26» июня </w:t>
            </w:r>
            <w:r w:rsidRPr="00D52224">
              <w:t>20</w:t>
            </w:r>
            <w:r>
              <w:t xml:space="preserve">18 </w:t>
            </w:r>
            <w:r w:rsidRPr="00922226">
              <w:t>года в 16 часов 00 минут по местному времени</w:t>
            </w:r>
          </w:p>
          <w:p w:rsidR="0054189F" w:rsidRPr="00922226" w:rsidRDefault="0054189F" w:rsidP="0054189F">
            <w:pPr>
              <w:rPr>
                <w:sz w:val="10"/>
                <w:szCs w:val="10"/>
              </w:rPr>
            </w:pPr>
          </w:p>
          <w:p w:rsidR="0054189F" w:rsidRPr="00922226" w:rsidRDefault="0054189F" w:rsidP="0054189F">
            <w:r w:rsidRPr="00922226">
              <w:rPr>
                <w:b/>
              </w:rPr>
              <w:t>Подведение итогов закупки</w:t>
            </w:r>
            <w:r>
              <w:t xml:space="preserve"> «10</w:t>
            </w:r>
            <w:r w:rsidRPr="00922226">
              <w:t xml:space="preserve">» </w:t>
            </w:r>
            <w:r>
              <w:t>июля</w:t>
            </w:r>
            <w:r w:rsidRPr="00922226">
              <w:rPr>
                <w:iCs/>
              </w:rPr>
              <w:t xml:space="preserve"> 201</w:t>
            </w:r>
            <w:r>
              <w:rPr>
                <w:iCs/>
              </w:rPr>
              <w:t>8</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6E67DC">
              <w:rPr>
                <w:b/>
              </w:rPr>
              <w:t>9</w:t>
            </w:r>
            <w:r w:rsidRPr="004F164E">
              <w:rPr>
                <w:b/>
              </w:rPr>
              <w:t xml:space="preserve">» </w:t>
            </w:r>
            <w:r w:rsidR="000A18FE">
              <w:rPr>
                <w:b/>
              </w:rPr>
              <w:t>ма</w:t>
            </w:r>
            <w:r w:rsidR="0054189F">
              <w:rPr>
                <w:b/>
              </w:rPr>
              <w:t>я</w:t>
            </w:r>
            <w:r w:rsidR="00FB1C88">
              <w:rPr>
                <w:b/>
              </w:rPr>
              <w:t xml:space="preserve">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1F51A6">
              <w:rPr>
                <w:b/>
              </w:rPr>
              <w:t>13</w:t>
            </w:r>
            <w:r w:rsidRPr="004F164E">
              <w:rPr>
                <w:b/>
              </w:rPr>
              <w:t xml:space="preserve">» </w:t>
            </w:r>
            <w:r w:rsidR="0054189F">
              <w:rPr>
                <w:b/>
              </w:rPr>
              <w:t>июня</w:t>
            </w:r>
            <w:r w:rsidR="00441B51">
              <w:rPr>
                <w:b/>
              </w:rPr>
              <w:t xml:space="preserve"> 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AA79FE" w:rsidRDefault="0054189F" w:rsidP="0054189F">
            <w:pPr>
              <w:spacing w:after="160" w:line="259" w:lineRule="auto"/>
              <w:jc w:val="both"/>
              <w:rPr>
                <w:highlight w:val="yellow"/>
              </w:rPr>
            </w:pPr>
            <w:r>
              <w:t>1</w:t>
            </w:r>
            <w:r w:rsidR="00F1527C" w:rsidRPr="00F1527C">
              <w:t xml:space="preserve"> (</w:t>
            </w:r>
            <w:r>
              <w:t>один) Победитель</w:t>
            </w:r>
            <w:r w:rsidR="00F1527C" w:rsidRPr="00F1527C">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4189F" w:rsidRPr="0054189F" w:rsidRDefault="0054189F" w:rsidP="0054189F">
            <w:pPr>
              <w:autoSpaceDE w:val="0"/>
              <w:autoSpaceDN w:val="0"/>
              <w:adjustRightInd w:val="0"/>
              <w:jc w:val="both"/>
              <w:rPr>
                <w:rFonts w:eastAsia="Calibri"/>
                <w:color w:val="000000"/>
                <w:lang w:eastAsia="en-US"/>
              </w:rPr>
            </w:pPr>
            <w:r w:rsidRPr="0054189F">
              <w:rPr>
                <w:rFonts w:eastAsia="Calibri"/>
                <w:iCs/>
                <w:color w:val="000000"/>
                <w:lang w:eastAsia="en-US"/>
              </w:rPr>
              <w:t xml:space="preserve">Право на заключение договора </w:t>
            </w:r>
            <w:r w:rsidRPr="0054189F">
              <w:rPr>
                <w:rFonts w:eastAsia="Calibri"/>
                <w:color w:val="000000"/>
                <w:lang w:eastAsia="en-US"/>
              </w:rPr>
              <w:t xml:space="preserve">на капитальный ремонт и демонтаж фундаментов АМС, металлоконструкций, </w:t>
            </w:r>
            <w:proofErr w:type="spellStart"/>
            <w:r w:rsidRPr="0054189F">
              <w:rPr>
                <w:rFonts w:eastAsia="Calibri"/>
                <w:color w:val="000000"/>
                <w:lang w:eastAsia="en-US"/>
              </w:rPr>
              <w:t>тяжению</w:t>
            </w:r>
            <w:proofErr w:type="spellEnd"/>
            <w:r w:rsidRPr="0054189F">
              <w:rPr>
                <w:rFonts w:eastAsia="Calibri"/>
                <w:color w:val="000000"/>
                <w:lang w:eastAsia="en-US"/>
              </w:rPr>
              <w:t xml:space="preserve"> оттяжек мачты с доведением до нормы.  </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bookmarkStart w:id="20" w:name="_GoBack"/>
            <w:bookmarkEnd w:id="20"/>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19"/>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4189F" w:rsidRPr="0000602B" w:rsidRDefault="0054189F" w:rsidP="0054189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w:t>
            </w:r>
            <w:r w:rsidRPr="007F784B">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Pr>
                <w:iCs/>
              </w:rPr>
              <w:t xml:space="preserve">3 600 </w:t>
            </w:r>
            <w:r w:rsidRPr="00296938">
              <w:rPr>
                <w:iCs/>
              </w:rPr>
              <w:t>000</w:t>
            </w:r>
            <w:r>
              <w:rPr>
                <w:iCs/>
              </w:rPr>
              <w:t>,00 рублей</w:t>
            </w:r>
            <w:r w:rsidRPr="0000602B">
              <w:rPr>
                <w:iCs/>
              </w:rPr>
              <w:t xml:space="preserve"> (</w:t>
            </w:r>
            <w:r>
              <w:rPr>
                <w:iCs/>
              </w:rPr>
              <w:t>Три миллиона шестьсот тысяч рублей 00 копеек)</w:t>
            </w:r>
            <w:r w:rsidRPr="0000602B">
              <w:rPr>
                <w:iCs/>
              </w:rPr>
              <w:t xml:space="preserve">, в том числе сумма НДС (18%) </w:t>
            </w:r>
            <w:r>
              <w:rPr>
                <w:iCs/>
              </w:rPr>
              <w:t>549 152,54</w:t>
            </w:r>
            <w:r w:rsidRPr="0000602B">
              <w:rPr>
                <w:iCs/>
              </w:rPr>
              <w:t xml:space="preserve"> рублей.</w:t>
            </w:r>
          </w:p>
          <w:p w:rsidR="0054189F" w:rsidRPr="0000602B" w:rsidRDefault="0054189F" w:rsidP="0054189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3 050 847,46 рублей (Три миллиона пятьдесят тысяч восемьсот сорок семь </w:t>
            </w:r>
            <w:r w:rsidRPr="0000602B">
              <w:rPr>
                <w:iCs/>
              </w:rPr>
              <w:t>рублей</w:t>
            </w:r>
            <w:r>
              <w:rPr>
                <w:iCs/>
              </w:rPr>
              <w:t xml:space="preserve"> 46 копеек)</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7F784B" w:rsidRPr="000C2D61" w:rsidRDefault="007F784B" w:rsidP="007F784B">
            <w:pPr>
              <w:autoSpaceDE w:val="0"/>
              <w:autoSpaceDN w:val="0"/>
              <w:adjustRightInd w:val="0"/>
              <w:ind w:firstLine="346"/>
              <w:jc w:val="both"/>
              <w:rPr>
                <w:rFonts w:eastAsia="Calibri"/>
                <w:iCs/>
              </w:rPr>
            </w:pPr>
            <w:r w:rsidRPr="000C2D61">
              <w:rPr>
                <w:rFonts w:eastAsia="Calibri"/>
                <w:iCs/>
              </w:rPr>
              <w:t>Коэффициент снижения не применяется к начальной (максимальной) цене договора.</w:t>
            </w:r>
          </w:p>
          <w:p w:rsidR="00896B7E" w:rsidRDefault="00450858" w:rsidP="007F784B">
            <w:pPr>
              <w:spacing w:before="120"/>
              <w:ind w:firstLine="346"/>
              <w:jc w:val="both"/>
              <w:rPr>
                <w:rFonts w:eastAsia="Calibri"/>
                <w:iCs/>
                <w:color w:val="000000"/>
              </w:rPr>
            </w:pPr>
            <w:r w:rsidRPr="007304A7">
              <w:rPr>
                <w:rFonts w:eastAsia="Calibri"/>
                <w:iCs/>
                <w:color w:val="000000"/>
              </w:rPr>
              <w:t>Предмет данного открытого запроса котировок – стоимость</w:t>
            </w:r>
            <w:r>
              <w:rPr>
                <w:rFonts w:eastAsia="Calibri"/>
                <w:iCs/>
                <w:color w:val="000000"/>
              </w:rPr>
              <w:t xml:space="preserve"> </w:t>
            </w:r>
            <w:r w:rsidRPr="00450858">
              <w:rPr>
                <w:rFonts w:eastAsia="Calibri"/>
                <w:iCs/>
                <w:color w:val="000000"/>
              </w:rPr>
              <w:t xml:space="preserve">единицы работ </w:t>
            </w:r>
            <w:r w:rsidR="0054189F">
              <w:rPr>
                <w:rFonts w:eastAsia="Calibri"/>
                <w:iCs/>
                <w:color w:val="000000"/>
              </w:rPr>
              <w:t>по отдельным категориям</w:t>
            </w:r>
            <w:r w:rsidR="00896B7E">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w:t>
            </w:r>
            <w:r w:rsidR="00AD40DA">
              <w:rPr>
                <w:iCs/>
              </w:rPr>
              <w:t xml:space="preserve">в </w:t>
            </w:r>
            <w:hyperlink w:anchor="_РАЗДЕЛ_III._ФОРМЫ" w:history="1">
              <w:r w:rsidRPr="0046155A">
                <w:rPr>
                  <w:rStyle w:val="a9"/>
                </w:rPr>
                <w:t>раздел</w:t>
              </w:r>
              <w:r w:rsidR="00AA379D">
                <w:rPr>
                  <w:rStyle w:val="a9"/>
                </w:rPr>
                <w:t xml:space="preserve">е </w:t>
              </w:r>
              <w:r w:rsidRPr="0046155A">
                <w:rPr>
                  <w:rStyle w:val="a9"/>
                  <w:lang w:val="en-US"/>
                </w:rPr>
                <w:t>I</w:t>
              </w:r>
              <w:r w:rsidR="00AD40DA">
                <w:rPr>
                  <w:rStyle w:val="a9"/>
                  <w:lang w:val="en-US"/>
                </w:rPr>
                <w:t>V</w:t>
              </w:r>
              <w:r w:rsidRPr="0046155A">
                <w:rPr>
                  <w:rStyle w:val="a9"/>
                </w:rPr>
                <w:t xml:space="preserve"> «</w:t>
              </w:r>
              <w:r w:rsidR="00AD40DA">
                <w:rPr>
                  <w:rStyle w:val="a9"/>
                </w:rPr>
                <w:t xml:space="preserve">ТЕХНИЧЕСКОЕ </w:t>
              </w:r>
              <w:proofErr w:type="gramStart"/>
              <w:r w:rsidR="00AD40DA">
                <w:rPr>
                  <w:rStyle w:val="a9"/>
                </w:rPr>
                <w:t>ЗАДАНИЕ</w:t>
              </w:r>
              <w:r w:rsidR="00AA379D">
                <w:rPr>
                  <w:rStyle w:val="a9"/>
                </w:rPr>
                <w:t xml:space="preserve"> </w:t>
              </w:r>
              <w:r w:rsidRPr="0046155A">
                <w:rPr>
                  <w:rStyle w:val="a9"/>
                </w:rPr>
                <w:t>»</w:t>
              </w:r>
              <w:proofErr w:type="gramEnd"/>
            </w:hyperlink>
            <w:r w:rsidRPr="00E07545">
              <w:rPr>
                <w:iCs/>
              </w:rPr>
              <w:t xml:space="preserve">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Цена за единицу работ по договору определяется путем произведения начальной (максимальной) цены за единицу работ, указанной в настоящей Документации (</w:t>
            </w:r>
            <w:hyperlink w:anchor="_РАЗДЕЛ_III._ФОРМЫ" w:history="1">
              <w:r w:rsidR="00AA379D" w:rsidRPr="0046155A">
                <w:rPr>
                  <w:rStyle w:val="a9"/>
                </w:rPr>
                <w:t>раздел</w:t>
              </w:r>
              <w:r w:rsidR="00AA379D">
                <w:rPr>
                  <w:rStyle w:val="a9"/>
                </w:rPr>
                <w:t xml:space="preserve"> </w:t>
              </w:r>
              <w:r w:rsidR="00AA379D" w:rsidRPr="0046155A">
                <w:rPr>
                  <w:rStyle w:val="a9"/>
                  <w:lang w:val="en-US"/>
                </w:rPr>
                <w:t>I</w:t>
              </w:r>
              <w:r w:rsidR="00AA379D">
                <w:rPr>
                  <w:rStyle w:val="a9"/>
                  <w:lang w:val="en-US"/>
                </w:rPr>
                <w:t>V</w:t>
              </w:r>
              <w:r w:rsidR="00AA379D" w:rsidRPr="0046155A">
                <w:rPr>
                  <w:rStyle w:val="a9"/>
                </w:rPr>
                <w:t xml:space="preserve"> «</w:t>
              </w:r>
              <w:r w:rsidR="00AA379D">
                <w:rPr>
                  <w:rStyle w:val="a9"/>
                </w:rPr>
                <w:t xml:space="preserve">ТЕХНИЧЕСКОЕ </w:t>
              </w:r>
              <w:r w:rsidR="007E4E5C">
                <w:rPr>
                  <w:rStyle w:val="a9"/>
                </w:rPr>
                <w:t>ЗАДАНИЕ»</w:t>
              </w:r>
            </w:hyperlink>
            <w:r w:rsidRPr="00E07545">
              <w:rPr>
                <w:iCs/>
              </w:rPr>
              <w:t xml:space="preserve">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w:t>
            </w:r>
            <w:r w:rsidR="007F784B" w:rsidRPr="00CE2F5A">
              <w:rPr>
                <w:rFonts w:eastAsia="Calibri"/>
                <w:iCs/>
              </w:rPr>
              <w:t xml:space="preserve"> </w:t>
            </w:r>
            <w:r w:rsidR="007F784B">
              <w:rPr>
                <w:rFonts w:eastAsia="Calibri"/>
                <w:iCs/>
              </w:rPr>
              <w:t xml:space="preserve">или равен </w:t>
            </w:r>
            <w:r w:rsidRPr="00CE2F5A">
              <w:rPr>
                <w:rFonts w:eastAsia="Calibri"/>
                <w:iCs/>
              </w:rPr>
              <w:t>1(единиц</w:t>
            </w:r>
            <w:r w:rsidR="007F784B">
              <w:rPr>
                <w:rFonts w:eastAsia="Calibri"/>
                <w:iCs/>
              </w:rPr>
              <w:t>е</w:t>
            </w:r>
            <w:r w:rsidRPr="00CE2F5A">
              <w:rPr>
                <w:rFonts w:eastAsia="Calibri"/>
                <w:iCs/>
              </w:rPr>
              <w:t>).  Коэффициент снижения применяется единым ко всем позициям</w:t>
            </w:r>
            <w:r w:rsidR="007B61BC">
              <w:rPr>
                <w:rFonts w:eastAsia="Calibri"/>
                <w:iCs/>
              </w:rPr>
              <w:t xml:space="preserve"> единиц работ </w:t>
            </w:r>
            <w:hyperlink w:anchor="_РАЗДЕЛ_III._ФОРМЫ" w:history="1">
              <w:r w:rsidR="00017877" w:rsidRPr="0046155A">
                <w:rPr>
                  <w:rStyle w:val="a9"/>
                </w:rPr>
                <w:t>раздел</w:t>
              </w:r>
              <w:r w:rsidR="00017877">
                <w:rPr>
                  <w:rStyle w:val="a9"/>
                </w:rPr>
                <w:t xml:space="preserve">е </w:t>
              </w:r>
              <w:r w:rsidR="00017877" w:rsidRPr="0046155A">
                <w:rPr>
                  <w:rStyle w:val="a9"/>
                  <w:lang w:val="en-US"/>
                </w:rPr>
                <w:t>I</w:t>
              </w:r>
              <w:r w:rsidR="00017877">
                <w:rPr>
                  <w:rStyle w:val="a9"/>
                  <w:lang w:val="en-US"/>
                </w:rPr>
                <w:t>V</w:t>
              </w:r>
              <w:r w:rsidR="00017877" w:rsidRPr="0046155A">
                <w:rPr>
                  <w:rStyle w:val="a9"/>
                </w:rPr>
                <w:t xml:space="preserve"> «</w:t>
              </w:r>
              <w:r w:rsidR="00017877">
                <w:rPr>
                  <w:rStyle w:val="a9"/>
                </w:rPr>
                <w:t xml:space="preserve">ТЕХНИЧЕСКОЕ </w:t>
              </w:r>
              <w:r w:rsidR="007E4E5C">
                <w:rPr>
                  <w:rStyle w:val="a9"/>
                </w:rPr>
                <w:t>ЗАДАНИЕ»</w:t>
              </w:r>
            </w:hyperlink>
            <w:r w:rsidR="00017877" w:rsidRPr="00E07545">
              <w:rPr>
                <w:iCs/>
              </w:rPr>
              <w:t xml:space="preserve"> </w:t>
            </w:r>
            <w:r w:rsidR="007B61BC" w:rsidRPr="007A1EF8">
              <w:rPr>
                <w:iCs/>
              </w:rPr>
              <w:t>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 xml:space="preserve">иницы работ </w:t>
            </w:r>
            <w:r w:rsidR="007F784B">
              <w:rPr>
                <w:iCs/>
              </w:rPr>
              <w:t>без НДС</w:t>
            </w:r>
            <w:r w:rsidR="00896B7E">
              <w:rPr>
                <w:iCs/>
              </w:rPr>
              <w:t xml:space="preserve">,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w:t>
            </w:r>
            <w:r w:rsidR="007E4E5C">
              <w:rPr>
                <w:rFonts w:eastAsia="Calibri"/>
                <w:iCs/>
                <w:color w:val="000000"/>
              </w:rPr>
              <w:t>по отдельным категориям</w:t>
            </w:r>
            <w:r w:rsidR="007E4E5C">
              <w:rPr>
                <w:iCs/>
              </w:rPr>
              <w:t xml:space="preserve">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w:t>
            </w:r>
            <w:r w:rsidR="007E4E5C" w:rsidRPr="007E4E5C">
              <w:rPr>
                <w:iCs/>
              </w:rPr>
              <w:t xml:space="preserve">по отдельным категориям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t>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6281D" w:rsidRDefault="0036281D" w:rsidP="00A91E84">
                  <w:pPr>
                    <w:spacing w:line="252" w:lineRule="auto"/>
                  </w:pPr>
                </w:p>
                <w:p w:rsidR="0036281D" w:rsidRDefault="0036281D" w:rsidP="00A91E84">
                  <w:pPr>
                    <w:spacing w:line="252" w:lineRule="auto"/>
                  </w:pPr>
                </w:p>
                <w:p w:rsidR="0036281D" w:rsidRDefault="0036281D" w:rsidP="00A91E84">
                  <w:pPr>
                    <w:spacing w:line="252" w:lineRule="auto"/>
                  </w:pPr>
                </w:p>
                <w:p w:rsidR="0036281D" w:rsidRDefault="0036281D"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A91E84" w:rsidRPr="00017877" w:rsidRDefault="00A91E84" w:rsidP="001F51A6">
                  <w:pPr>
                    <w:pStyle w:val="aa"/>
                    <w:numPr>
                      <w:ilvl w:val="1"/>
                      <w:numId w:val="67"/>
                    </w:numPr>
                    <w:spacing w:line="252" w:lineRule="auto"/>
                    <w:ind w:left="63" w:firstLine="0"/>
                    <w:rPr>
                      <w:b/>
                      <w:bCs/>
                    </w:rPr>
                  </w:pPr>
                  <w:r w:rsidRPr="00017877">
                    <w:rPr>
                      <w:b/>
                      <w:bCs/>
                    </w:rPr>
                    <w:t>Выпиской</w:t>
                  </w:r>
                  <w:r w:rsidR="009A446A" w:rsidRPr="00017877">
                    <w:rPr>
                      <w:b/>
                      <w:bCs/>
                    </w:rPr>
                    <w:t>*</w:t>
                  </w:r>
                  <w:r w:rsidRPr="00017877">
                    <w:rPr>
                      <w:b/>
                      <w:bCs/>
                    </w:rPr>
                    <w:t xml:space="preserve"> из реестра саморегулируемой организации, основанной на членстве лиц, осуществляющих строительство</w:t>
                  </w:r>
                  <w:r w:rsidR="00D4210B" w:rsidRPr="00017877">
                    <w:rPr>
                      <w:b/>
                      <w:bCs/>
                    </w:rPr>
                    <w:t>, членом</w:t>
                  </w:r>
                  <w:r w:rsidRPr="00017877">
                    <w:rPr>
                      <w:b/>
                      <w:bCs/>
                    </w:rPr>
                    <w:t xml:space="preserve"> которой является </w:t>
                  </w:r>
                  <w:r w:rsidR="0036281D" w:rsidRPr="00017877">
                    <w:rPr>
                      <w:b/>
                      <w:bCs/>
                    </w:rPr>
                    <w:t>Участник (</w:t>
                  </w:r>
                  <w:r w:rsidR="009A446A" w:rsidRPr="00017877">
                    <w:rPr>
                      <w:b/>
                      <w:bCs/>
                    </w:rPr>
                    <w:t>статья</w:t>
                  </w:r>
                  <w:r w:rsidR="00C3126F" w:rsidRPr="00017877">
                    <w:rPr>
                      <w:b/>
                      <w:bCs/>
                    </w:rPr>
                    <w:t xml:space="preserve"> 55.17 Градостроительного кодекса Российской Федерации)</w:t>
                  </w:r>
                  <w:r w:rsidRPr="00017877">
                    <w:rPr>
                      <w:b/>
                      <w:bCs/>
                    </w:rPr>
                    <w:t>, содержащ</w:t>
                  </w:r>
                  <w:r w:rsidR="00017877">
                    <w:rPr>
                      <w:b/>
                      <w:bCs/>
                    </w:rPr>
                    <w:t>ей</w:t>
                  </w:r>
                  <w:r w:rsidRPr="00017877">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36281D" w:rsidRPr="009F146C" w:rsidRDefault="00A91E84" w:rsidP="0036281D">
                  <w:pPr>
                    <w:shd w:val="clear" w:color="auto" w:fill="FFFFFF" w:themeFill="background1"/>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строительного подряда, заключаемым с использованием конкурентных способов заключения договоров в отношении объектов капитального </w:t>
                  </w:r>
                  <w:r w:rsidR="0036281D" w:rsidRPr="003323F5">
                    <w:rPr>
                      <w:b/>
                      <w:bCs/>
                    </w:rPr>
                    <w:t>строительства,</w:t>
                  </w:r>
                  <w:r w:rsidR="003323F5" w:rsidRPr="003323F5">
                    <w:rPr>
                      <w:b/>
                      <w:bCs/>
                    </w:rPr>
                    <w:t xml:space="preserve"> </w:t>
                  </w:r>
                  <w:r w:rsidR="0036281D" w:rsidRPr="009F146C">
                    <w:rPr>
                      <w:b/>
                      <w:bCs/>
                    </w:rPr>
                    <w:t>а также в отношении особо опасных, технически сложных и уникальных объектов (кроме объектов использования атомной энергии);</w:t>
                  </w:r>
                </w:p>
                <w:p w:rsidR="0036281D" w:rsidRPr="009F146C" w:rsidRDefault="0036281D" w:rsidP="0036281D">
                  <w:pPr>
                    <w:shd w:val="clear" w:color="auto" w:fill="FFFFFF" w:themeFill="background1"/>
                    <w:spacing w:line="252" w:lineRule="auto"/>
                    <w:rPr>
                      <w:b/>
                      <w:bCs/>
                    </w:rPr>
                  </w:pPr>
                  <w:r w:rsidRPr="009F146C">
                    <w:rPr>
                      <w:b/>
                      <w:bCs/>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 (1 уровень ответственности);</w:t>
                  </w:r>
                </w:p>
                <w:p w:rsidR="0036281D" w:rsidRPr="009F146C" w:rsidRDefault="0036281D" w:rsidP="0036281D">
                  <w:pPr>
                    <w:shd w:val="clear" w:color="auto" w:fill="FFFFFF" w:themeFill="background1"/>
                    <w:spacing w:line="252" w:lineRule="auto"/>
                    <w:rPr>
                      <w:b/>
                      <w:bCs/>
                    </w:rPr>
                  </w:pPr>
                  <w:r w:rsidRPr="009F146C">
                    <w:rPr>
                      <w:b/>
                      <w:bCs/>
                    </w:rPr>
                    <w:t xml:space="preserve">- сведения об уровне ответственности Участника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(1 уровень ответственности). </w:t>
                  </w:r>
                </w:p>
                <w:p w:rsidR="0036281D" w:rsidRPr="009F146C" w:rsidRDefault="0036281D" w:rsidP="0036281D">
                  <w:pPr>
                    <w:shd w:val="clear" w:color="auto" w:fill="FFFFFF" w:themeFill="background1"/>
                    <w:spacing w:line="252" w:lineRule="auto"/>
                    <w:rPr>
                      <w:b/>
                      <w:bCs/>
                    </w:rPr>
                  </w:pPr>
                </w:p>
                <w:p w:rsidR="0036281D" w:rsidRDefault="0036281D" w:rsidP="0036281D">
                  <w:pPr>
                    <w:shd w:val="clear" w:color="auto" w:fill="FFFFFF" w:themeFill="background1"/>
                    <w:spacing w:line="252" w:lineRule="auto"/>
                    <w:rPr>
                      <w:b/>
                      <w:bCs/>
                    </w:rPr>
                  </w:pPr>
                  <w:r w:rsidRPr="009F146C">
                    <w:rPr>
                      <w:b/>
                      <w:bCs/>
                    </w:rPr>
                    <w:t>Выписка должна быть выдана не ранее чем за один месяц до даты окончания срока подачи заявок, указанный в извещении о проведении закупки</w:t>
                  </w:r>
                </w:p>
                <w:p w:rsidR="0036281D" w:rsidRDefault="0036281D" w:rsidP="0036281D">
                  <w:pPr>
                    <w:spacing w:line="252" w:lineRule="auto"/>
                    <w:rPr>
                      <w:b/>
                      <w:bCs/>
                    </w:rPr>
                  </w:pPr>
                </w:p>
                <w:p w:rsidR="00A91E84" w:rsidRDefault="0036281D" w:rsidP="0036281D">
                  <w:pPr>
                    <w:spacing w:line="252" w:lineRule="auto"/>
                    <w:rPr>
                      <w:b/>
                      <w:bCs/>
                    </w:rPr>
                  </w:pPr>
                  <w:r>
                    <w:rPr>
                      <w:b/>
                      <w:bCs/>
                    </w:rPr>
                    <w:t xml:space="preserve">* </w:t>
                  </w:r>
                  <w:r>
                    <w:t xml:space="preserve">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w:t>
                  </w:r>
                  <w:r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w:t>
                  </w:r>
                  <w:r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proofErr w:type="gramStart"/>
                  <w:r w:rsidRPr="00C02AE1">
                    <w:rPr>
                      <w:rFonts w:cs="Arial"/>
                      <w:color w:val="000000"/>
                    </w:rPr>
                    <w:t>законом  от</w:t>
                  </w:r>
                  <w:proofErr w:type="gramEnd"/>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1F51A6" w:rsidP="00E455A3">
                  <w:pPr>
                    <w:jc w:val="both"/>
                    <w:rPr>
                      <w:rFonts w:cs="Arial"/>
                      <w:b/>
                      <w:i/>
                      <w:color w:val="FF0000"/>
                    </w:rPr>
                  </w:pPr>
                  <w:r w:rsidRPr="00191075">
                    <w:t>Отсутствие у претендента, каких-либо рекламаций вследствие исполнения договоров для ПАО «Башинформсвязь»</w:t>
                  </w:r>
                </w:p>
              </w:tc>
              <w:tc>
                <w:tcPr>
                  <w:tcW w:w="3895" w:type="dxa"/>
                  <w:shd w:val="clear" w:color="auto" w:fill="auto"/>
                </w:tcPr>
                <w:p w:rsidR="00341A9D" w:rsidRPr="00C47DA4" w:rsidRDefault="001F51A6" w:rsidP="00E455A3">
                  <w:pPr>
                    <w:jc w:val="both"/>
                    <w:rPr>
                      <w:rFonts w:cs="Arial"/>
                      <w:b/>
                      <w:color w:val="FF0000"/>
                    </w:rPr>
                  </w:pPr>
                  <w:r w:rsidRPr="00191075">
                    <w:t>Декларируется претендентом в тексте заявки</w:t>
                  </w:r>
                </w:p>
              </w:tc>
            </w:tr>
            <w:tr w:rsidR="001F51A6" w:rsidRPr="00F84878" w:rsidTr="006F5D2B">
              <w:tc>
                <w:tcPr>
                  <w:tcW w:w="3675" w:type="dxa"/>
                  <w:shd w:val="clear" w:color="auto" w:fill="auto"/>
                </w:tcPr>
                <w:p w:rsidR="001F51A6" w:rsidRPr="006E67DC" w:rsidRDefault="001F51A6" w:rsidP="001F51A6">
                  <w:pPr>
                    <w:spacing w:line="265" w:lineRule="auto"/>
                    <w:ind w:left="5" w:right="102"/>
                    <w:rPr>
                      <w:rFonts w:eastAsia="Calibri"/>
                      <w:lang w:eastAsia="en-US"/>
                    </w:rPr>
                  </w:pPr>
                  <w:r w:rsidRPr="006E67DC">
                    <w:rPr>
                      <w:rFonts w:eastAsia="Calibri"/>
                      <w:lang w:eastAsia="en-US"/>
                    </w:rPr>
                    <w:t>Наличие инфраструктуры, собственных или привлеченных основных материально - технических ресурсов</w:t>
                  </w:r>
                </w:p>
                <w:p w:rsidR="001F51A6" w:rsidRPr="006E67DC" w:rsidRDefault="001F51A6" w:rsidP="001F51A6">
                  <w:pPr>
                    <w:spacing w:line="258" w:lineRule="auto"/>
                    <w:ind w:left="5" w:right="108"/>
                    <w:rPr>
                      <w:rFonts w:eastAsia="Calibri"/>
                      <w:lang w:eastAsia="en-US"/>
                    </w:rPr>
                  </w:pPr>
                  <w:r w:rsidRPr="006E67DC">
                    <w:rPr>
                      <w:rFonts w:eastAsia="Calibri"/>
                      <w:lang w:eastAsia="en-US"/>
                    </w:rPr>
                    <w:t>(автотранспорта, оборудования, снаряжения) в достаточном для исполнения договора объеме.</w:t>
                  </w:r>
                </w:p>
                <w:p w:rsidR="001F51A6" w:rsidRPr="00191075" w:rsidRDefault="001F51A6" w:rsidP="001F51A6">
                  <w:pPr>
                    <w:spacing w:after="41" w:line="276" w:lineRule="auto"/>
                    <w:ind w:left="5"/>
                  </w:pPr>
                  <w:r w:rsidRPr="006E67DC">
                    <w:rPr>
                      <w:rFonts w:eastAsia="Calibri"/>
                      <w:lang w:eastAsia="en-US"/>
                    </w:rPr>
                    <w:t xml:space="preserve">Всё снаряжение и средства индивидуальной защиты должны быть </w:t>
                  </w:r>
                  <w:proofErr w:type="spellStart"/>
                  <w:r w:rsidRPr="006E67DC">
                    <w:rPr>
                      <w:rFonts w:eastAsia="Calibri"/>
                      <w:lang w:eastAsia="en-US"/>
                    </w:rPr>
                    <w:t>поверены</w:t>
                  </w:r>
                  <w:proofErr w:type="spellEnd"/>
                  <w:r w:rsidRPr="006E67DC">
                    <w:rPr>
                      <w:rFonts w:eastAsia="Calibri"/>
                      <w:lang w:eastAsia="en-US"/>
                    </w:rPr>
                    <w:t>.</w:t>
                  </w:r>
                </w:p>
              </w:tc>
              <w:tc>
                <w:tcPr>
                  <w:tcW w:w="3895" w:type="dxa"/>
                  <w:shd w:val="clear" w:color="auto" w:fill="auto"/>
                </w:tcPr>
                <w:p w:rsidR="001F51A6" w:rsidRPr="00191075" w:rsidRDefault="001F51A6" w:rsidP="00E455A3">
                  <w:pPr>
                    <w:jc w:val="both"/>
                  </w:pPr>
                  <w:r w:rsidRPr="00191075">
                    <w:t>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снаряжения и средств индивидуальной защи</w:t>
                  </w:r>
                  <w:r>
                    <w:t>ты.</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B72B1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w:t>
            </w:r>
            <w:r w:rsidR="00D42B9B" w:rsidRPr="00D42B9B">
              <w:t>стоимость единицы работ по отдельным категориям</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w:t>
            </w:r>
            <w:r w:rsidR="00D42B9B" w:rsidRPr="00D42B9B">
              <w:t xml:space="preserve">по отдельным категориям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 xml:space="preserve">работ </w:t>
            </w:r>
            <w:r w:rsidR="00D42B9B" w:rsidRPr="00D42B9B">
              <w:t>по отдельным категориям</w:t>
            </w:r>
            <w:r w:rsidR="00896B7E">
              <w:t>,</w:t>
            </w:r>
            <w:r w:rsidRPr="0046155A">
              <w:t xml:space="preserve"> определяется путём произведения цены единицы </w:t>
            </w:r>
            <w:r w:rsidR="00896B7E" w:rsidRPr="00896B7E">
              <w:t xml:space="preserve">работ </w:t>
            </w:r>
            <w:r w:rsidR="00D42B9B" w:rsidRPr="00D42B9B">
              <w:t>по отдельным категориям</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w:t>
            </w:r>
            <w:r w:rsidR="00D42B9B" w:rsidRPr="00D42B9B">
              <w:t>по отдельным категориям</w:t>
            </w:r>
            <w:r w:rsidR="00D42B9B" w:rsidRPr="0046155A">
              <w:t xml:space="preserve"> </w:t>
            </w:r>
            <w:r w:rsidR="00F47133" w:rsidRPr="0046155A">
              <w:t>приводятся</w:t>
            </w:r>
            <w:r w:rsidR="00F47133" w:rsidRPr="0046155A">
              <w:rPr>
                <w:iCs/>
              </w:rPr>
              <w:t xml:space="preserve"> в</w:t>
            </w:r>
            <w:r w:rsidRPr="0046155A">
              <w:rPr>
                <w:iCs/>
              </w:rPr>
              <w:t xml:space="preserve"> </w:t>
            </w:r>
            <w:hyperlink w:anchor="_РАЗДЕЛ_III._ФОРМЫ" w:history="1">
              <w:r w:rsidR="00D42B9B" w:rsidRPr="0046155A">
                <w:rPr>
                  <w:rStyle w:val="a9"/>
                </w:rPr>
                <w:t>раздел</w:t>
              </w:r>
              <w:r w:rsidR="00D42B9B">
                <w:rPr>
                  <w:rStyle w:val="a9"/>
                </w:rPr>
                <w:t xml:space="preserve">е </w:t>
              </w:r>
              <w:r w:rsidR="00D42B9B" w:rsidRPr="0046155A">
                <w:rPr>
                  <w:rStyle w:val="a9"/>
                  <w:lang w:val="en-US"/>
                </w:rPr>
                <w:t>I</w:t>
              </w:r>
              <w:r w:rsidR="00D42B9B">
                <w:rPr>
                  <w:rStyle w:val="a9"/>
                  <w:lang w:val="en-US"/>
                </w:rPr>
                <w:t>V</w:t>
              </w:r>
              <w:r w:rsidR="00D42B9B" w:rsidRPr="0046155A">
                <w:rPr>
                  <w:rStyle w:val="a9"/>
                </w:rPr>
                <w:t xml:space="preserve"> «</w:t>
              </w:r>
              <w:r w:rsidR="00D42B9B">
                <w:rPr>
                  <w:rStyle w:val="a9"/>
                </w:rPr>
                <w:t xml:space="preserve">ТЕХНИЧЕСКОЕ </w:t>
              </w:r>
              <w:proofErr w:type="gramStart"/>
              <w:r w:rsidR="00D42B9B">
                <w:rPr>
                  <w:rStyle w:val="a9"/>
                </w:rPr>
                <w:t xml:space="preserve">ЗАДАНИЕ </w:t>
              </w:r>
              <w:r w:rsidR="00D42B9B" w:rsidRPr="0046155A">
                <w:rPr>
                  <w:rStyle w:val="a9"/>
                </w:rPr>
                <w:t>»</w:t>
              </w:r>
              <w:proofErr w:type="gramEnd"/>
            </w:hyperlink>
            <w:r w:rsidR="00D42B9B" w:rsidRPr="00E07545">
              <w:rPr>
                <w:iCs/>
              </w:rPr>
              <w:t xml:space="preserve">  Документации о закупке</w:t>
            </w:r>
            <w:r w:rsidR="00D42B9B" w:rsidRPr="0046155A">
              <w:rPr>
                <w:iCs/>
              </w:rPr>
              <w:t xml:space="preserve"> </w:t>
            </w:r>
            <w:r w:rsidRPr="0046155A">
              <w:rPr>
                <w:iCs/>
              </w:rPr>
              <w:t>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E33D86">
              <w:fldChar w:fldCharType="begin"/>
            </w:r>
            <w:r w:rsidR="00E33D86">
              <w:instrText xml:space="preserve"> HYPERLINK \l "_РАЗДЕЛ_V._Проект" </w:instrText>
            </w:r>
            <w:r w:rsidR="00E33D86">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E33D86">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210E0D" w:rsidRDefault="00D42B9B" w:rsidP="00D42B9B">
            <w:pPr>
              <w:jc w:val="both"/>
            </w:pPr>
            <w:r>
              <w:t xml:space="preserve">Не </w:t>
            </w:r>
            <w:r w:rsidRPr="00210E0D">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72B1C">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72B1C">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72B1C">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D42B9B">
              <w:t>по</w:t>
            </w:r>
            <w:r w:rsidRPr="00F13947">
              <w:rPr>
                <w:b/>
              </w:rPr>
              <w:t xml:space="preserve"> </w:t>
            </w:r>
            <w:hyperlink w:anchor="форма3" w:history="1">
              <w:r w:rsidRPr="00F13947">
                <w:rPr>
                  <w:rStyle w:val="a9"/>
                  <w:b/>
                </w:rPr>
                <w:t>форме 3</w:t>
              </w:r>
            </w:hyperlink>
            <w:r w:rsidR="00D42B9B">
              <w:rPr>
                <w:b/>
              </w:rPr>
              <w:t xml:space="preserve"> </w:t>
            </w:r>
            <w:r w:rsidR="00D42B9B" w:rsidRPr="00D42B9B">
              <w:t>и</w:t>
            </w:r>
            <w:r>
              <w:t xml:space="preserve">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B72B1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72B1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B72B1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B72B1C">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B72B1C">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w:t>
            </w:r>
            <w:r w:rsidR="005F3FAA">
              <w:rPr>
                <w:color w:val="000000"/>
              </w:rPr>
              <w:t>1</w:t>
            </w:r>
            <w:r w:rsidRPr="008811D9">
              <w:rPr>
                <w:color w:val="000000"/>
              </w:rPr>
              <w:t>0 % (д</w:t>
            </w:r>
            <w:r w:rsidR="005F3FAA">
              <w:rPr>
                <w:color w:val="000000"/>
              </w:rPr>
              <w:t>есяти</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5F3FAA">
              <w:rPr>
                <w:color w:val="000000"/>
              </w:rPr>
              <w:t>1</w:t>
            </w:r>
            <w:r>
              <w:rPr>
                <w:color w:val="000000"/>
              </w:rPr>
              <w:t>0% (д</w:t>
            </w:r>
            <w:r w:rsidR="005F3FAA">
              <w:rPr>
                <w:color w:val="000000"/>
              </w:rPr>
              <w:t>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B72B1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B72B1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B72B1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B72B1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32124">
      <w:pPr>
        <w:pStyle w:val="aa"/>
        <w:numPr>
          <w:ilvl w:val="0"/>
          <w:numId w:val="70"/>
        </w:num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proofErr w:type="spellStart"/>
            <w:r>
              <w:rPr>
                <w:rFonts w:cs="Arial"/>
                <w:color w:val="000000"/>
              </w:rPr>
              <w:t>К</w:t>
            </w:r>
            <w:r w:rsidR="00B6562B" w:rsidRPr="00B6562B">
              <w:rPr>
                <w:rFonts w:cs="Arial"/>
                <w:color w:val="000000"/>
              </w:rPr>
              <w:t>оэф</w:t>
            </w:r>
            <w:proofErr w:type="spellEnd"/>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514053" w:rsidRPr="00B6562B" w:rsidTr="001F51A6">
        <w:tc>
          <w:tcPr>
            <w:tcW w:w="9753" w:type="dxa"/>
            <w:gridSpan w:val="3"/>
            <w:shd w:val="clear" w:color="auto" w:fill="auto"/>
          </w:tcPr>
          <w:p w:rsidR="00514053" w:rsidRDefault="00514053" w:rsidP="00E455A3">
            <w:pPr>
              <w:rPr>
                <w:rFonts w:cs="Arial"/>
                <w:b/>
                <w:color w:val="000000"/>
              </w:rPr>
            </w:pPr>
            <w:r>
              <w:rPr>
                <w:rFonts w:cs="Arial"/>
                <w:b/>
                <w:color w:val="000000"/>
              </w:rPr>
              <w:t>Примечание:</w:t>
            </w:r>
          </w:p>
          <w:p w:rsidR="00514053" w:rsidRPr="00B6562B" w:rsidRDefault="00514053" w:rsidP="00514053">
            <w:pPr>
              <w:rPr>
                <w:rFonts w:cs="Arial"/>
                <w:color w:val="000000"/>
              </w:rPr>
            </w:pPr>
            <w:r w:rsidRPr="00514053">
              <w:rPr>
                <w:rFonts w:cs="Arial"/>
                <w:color w:val="000000"/>
              </w:rPr>
              <w:t>Стоимость работ включает в себя стоимость материалов, изделий и оборудования, поставляемых подрядчиком в соответствии с разделительной ведомостью поставки, а также стоимость их доставки на объект.</w:t>
            </w:r>
          </w:p>
        </w:tc>
      </w:tr>
    </w:tbl>
    <w:p w:rsidR="00341A9D" w:rsidRDefault="00D75183" w:rsidP="00D75183">
      <w:r>
        <w:t xml:space="preserve">                                                            </w:t>
      </w:r>
    </w:p>
    <w:p w:rsidR="0032635D" w:rsidRPr="00C83DF5" w:rsidRDefault="00B6562B" w:rsidP="00341A9D">
      <w:pPr>
        <w:rPr>
          <w:sz w:val="20"/>
          <w:szCs w:val="20"/>
        </w:rPr>
      </w:pPr>
      <w:r w:rsidRPr="00C83DF5">
        <w:rPr>
          <w:sz w:val="20"/>
          <w:szCs w:val="20"/>
        </w:rPr>
        <w:t xml:space="preserve">* У Заказчика не возникает обязанности заказать Работы, Материалы, Вспомогательное оборудование </w:t>
      </w:r>
      <w:r w:rsidR="00251B5F" w:rsidRPr="00C83DF5">
        <w:rPr>
          <w:sz w:val="20"/>
          <w:szCs w:val="20"/>
        </w:rPr>
        <w:t>и Услуги на всю указанную сумму;</w:t>
      </w:r>
    </w:p>
    <w:p w:rsidR="00341A9D" w:rsidRPr="00C83DF5" w:rsidRDefault="00251B5F" w:rsidP="00341A9D">
      <w:pPr>
        <w:rPr>
          <w:iCs/>
          <w:sz w:val="20"/>
          <w:szCs w:val="20"/>
        </w:rPr>
      </w:pPr>
      <w:r w:rsidRPr="00C83DF5">
        <w:rPr>
          <w:sz w:val="20"/>
          <w:szCs w:val="20"/>
        </w:rPr>
        <w:t xml:space="preserve">** </w:t>
      </w:r>
      <w:r w:rsidRPr="00C83DF5">
        <w:rPr>
          <w:rFonts w:eastAsia="Calibri"/>
          <w:iCs/>
          <w:sz w:val="20"/>
          <w:szCs w:val="20"/>
        </w:rPr>
        <w:t>Коэффициент снижения применяется единым ко всем</w:t>
      </w:r>
      <w:r w:rsidR="00C83DF5" w:rsidRPr="00C83DF5">
        <w:rPr>
          <w:rFonts w:eastAsia="Calibri"/>
          <w:iCs/>
          <w:sz w:val="20"/>
          <w:szCs w:val="20"/>
        </w:rPr>
        <w:t xml:space="preserve"> позициям единиц </w:t>
      </w:r>
      <w:r w:rsidRPr="00C83DF5">
        <w:rPr>
          <w:rFonts w:eastAsia="Calibri"/>
          <w:iCs/>
          <w:sz w:val="20"/>
          <w:szCs w:val="20"/>
        </w:rPr>
        <w:t xml:space="preserve">работ </w:t>
      </w:r>
      <w:r w:rsidR="00C83DF5" w:rsidRPr="00C83DF5">
        <w:rPr>
          <w:rFonts w:eastAsia="Calibri"/>
          <w:iCs/>
          <w:sz w:val="20"/>
          <w:szCs w:val="20"/>
        </w:rPr>
        <w:t>по отдельным категориям</w:t>
      </w:r>
      <w:r w:rsidR="00514053">
        <w:rPr>
          <w:rFonts w:eastAsia="Calibri"/>
          <w:iCs/>
          <w:sz w:val="20"/>
          <w:szCs w:val="20"/>
        </w:rPr>
        <w:t>, не может быть больше или равен 1 (единице)</w:t>
      </w:r>
      <w:r w:rsidR="003B35D6" w:rsidRPr="00C83DF5">
        <w:rPr>
          <w:iCs/>
          <w:sz w:val="20"/>
          <w:szCs w:val="20"/>
        </w:rPr>
        <w:t>.</w:t>
      </w:r>
    </w:p>
    <w:p w:rsidR="003B35D6" w:rsidRDefault="003B35D6" w:rsidP="00341A9D"/>
    <w:p w:rsidR="00332124" w:rsidRDefault="00332124" w:rsidP="00332124">
      <w:pPr>
        <w:pStyle w:val="aa"/>
        <w:numPr>
          <w:ilvl w:val="0"/>
          <w:numId w:val="70"/>
        </w:numPr>
        <w:spacing w:line="265" w:lineRule="auto"/>
        <w:ind w:right="102"/>
        <w:jc w:val="center"/>
        <w:rPr>
          <w:rFonts w:eastAsia="Calibri"/>
          <w:lang w:eastAsia="en-US"/>
        </w:rPr>
      </w:pPr>
      <w:r w:rsidRPr="00332124">
        <w:rPr>
          <w:rFonts w:eastAsia="Calibri"/>
          <w:lang w:eastAsia="en-US"/>
        </w:rPr>
        <w:t>Сведения о материально - технических ресурсах</w:t>
      </w:r>
    </w:p>
    <w:tbl>
      <w:tblPr>
        <w:tblStyle w:val="af2"/>
        <w:tblW w:w="0" w:type="auto"/>
        <w:tblInd w:w="-5" w:type="dxa"/>
        <w:tblLook w:val="04A0" w:firstRow="1" w:lastRow="0" w:firstColumn="1" w:lastColumn="0" w:noHBand="0" w:noVBand="1"/>
      </w:tblPr>
      <w:tblGrid>
        <w:gridCol w:w="993"/>
        <w:gridCol w:w="4650"/>
        <w:gridCol w:w="2279"/>
        <w:gridCol w:w="2279"/>
      </w:tblGrid>
      <w:tr w:rsidR="0063628B" w:rsidTr="0063628B">
        <w:tc>
          <w:tcPr>
            <w:tcW w:w="993" w:type="dxa"/>
          </w:tcPr>
          <w:p w:rsidR="0063628B" w:rsidRPr="0063628B" w:rsidRDefault="0063628B" w:rsidP="0063628B">
            <w:pPr>
              <w:pStyle w:val="aa"/>
              <w:spacing w:line="265" w:lineRule="auto"/>
              <w:ind w:left="0" w:right="102"/>
              <w:jc w:val="center"/>
              <w:rPr>
                <w:rFonts w:eastAsia="Calibri"/>
                <w:lang w:eastAsia="en-US"/>
              </w:rPr>
            </w:pPr>
            <w:r>
              <w:rPr>
                <w:rFonts w:eastAsia="Calibri"/>
                <w:lang w:eastAsia="en-US"/>
              </w:rPr>
              <w:t>№ п/п</w:t>
            </w:r>
          </w:p>
        </w:tc>
        <w:tc>
          <w:tcPr>
            <w:tcW w:w="4650" w:type="dxa"/>
          </w:tcPr>
          <w:p w:rsidR="0063628B" w:rsidRDefault="0063628B" w:rsidP="0063628B">
            <w:pPr>
              <w:pStyle w:val="aa"/>
              <w:spacing w:line="265" w:lineRule="auto"/>
              <w:ind w:left="0" w:right="102"/>
              <w:jc w:val="center"/>
              <w:rPr>
                <w:rFonts w:eastAsia="Calibri"/>
                <w:lang w:eastAsia="en-US"/>
              </w:rPr>
            </w:pPr>
            <w:r>
              <w:rPr>
                <w:rFonts w:eastAsia="Calibri"/>
                <w:lang w:eastAsia="en-US"/>
              </w:rPr>
              <w:t>Наименование</w:t>
            </w:r>
          </w:p>
        </w:tc>
        <w:tc>
          <w:tcPr>
            <w:tcW w:w="2279" w:type="dxa"/>
          </w:tcPr>
          <w:p w:rsidR="0063628B" w:rsidRDefault="0063628B" w:rsidP="0063628B">
            <w:pPr>
              <w:pStyle w:val="aa"/>
              <w:spacing w:line="265" w:lineRule="auto"/>
              <w:ind w:left="0" w:right="102"/>
              <w:jc w:val="center"/>
              <w:rPr>
                <w:rFonts w:eastAsia="Calibri"/>
                <w:lang w:eastAsia="en-US"/>
              </w:rPr>
            </w:pPr>
            <w:r>
              <w:rPr>
                <w:rFonts w:eastAsia="Calibri"/>
                <w:lang w:eastAsia="en-US"/>
              </w:rPr>
              <w:t>Количество</w:t>
            </w:r>
          </w:p>
        </w:tc>
        <w:tc>
          <w:tcPr>
            <w:tcW w:w="2279" w:type="dxa"/>
          </w:tcPr>
          <w:p w:rsidR="0063628B" w:rsidRDefault="0063628B" w:rsidP="0063628B">
            <w:pPr>
              <w:pStyle w:val="aa"/>
              <w:spacing w:line="265" w:lineRule="auto"/>
              <w:ind w:left="0" w:right="102"/>
              <w:jc w:val="center"/>
              <w:rPr>
                <w:rFonts w:eastAsia="Calibri"/>
                <w:lang w:eastAsia="en-US"/>
              </w:rPr>
            </w:pPr>
            <w:r>
              <w:rPr>
                <w:rFonts w:eastAsia="Calibri"/>
                <w:lang w:eastAsia="en-US"/>
              </w:rPr>
              <w:t>Чем подтверждается в составе заявки</w:t>
            </w:r>
          </w:p>
        </w:tc>
      </w:tr>
      <w:tr w:rsidR="0063628B" w:rsidTr="0063628B">
        <w:tc>
          <w:tcPr>
            <w:tcW w:w="993" w:type="dxa"/>
          </w:tcPr>
          <w:p w:rsidR="0063628B" w:rsidRDefault="0001719D" w:rsidP="00332124">
            <w:pPr>
              <w:pStyle w:val="aa"/>
              <w:spacing w:line="265" w:lineRule="auto"/>
              <w:ind w:left="0" w:right="102"/>
              <w:rPr>
                <w:rFonts w:eastAsia="Calibri"/>
                <w:lang w:eastAsia="en-US"/>
              </w:rPr>
            </w:pPr>
            <w:r>
              <w:rPr>
                <w:rFonts w:eastAsia="Calibri"/>
                <w:lang w:eastAsia="en-US"/>
              </w:rPr>
              <w:t>1.</w:t>
            </w:r>
          </w:p>
        </w:tc>
        <w:tc>
          <w:tcPr>
            <w:tcW w:w="4650"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r>
      <w:tr w:rsidR="0063628B" w:rsidTr="0063628B">
        <w:tc>
          <w:tcPr>
            <w:tcW w:w="993" w:type="dxa"/>
          </w:tcPr>
          <w:p w:rsidR="0063628B" w:rsidRDefault="0001719D" w:rsidP="00332124">
            <w:pPr>
              <w:pStyle w:val="aa"/>
              <w:spacing w:line="265" w:lineRule="auto"/>
              <w:ind w:left="0" w:right="102"/>
              <w:rPr>
                <w:rFonts w:eastAsia="Calibri"/>
                <w:lang w:eastAsia="en-US"/>
              </w:rPr>
            </w:pPr>
            <w:r>
              <w:rPr>
                <w:rFonts w:eastAsia="Calibri"/>
                <w:lang w:eastAsia="en-US"/>
              </w:rPr>
              <w:t>2.</w:t>
            </w:r>
          </w:p>
        </w:tc>
        <w:tc>
          <w:tcPr>
            <w:tcW w:w="4650"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r>
      <w:tr w:rsidR="0063628B" w:rsidTr="0063628B">
        <w:tc>
          <w:tcPr>
            <w:tcW w:w="993" w:type="dxa"/>
          </w:tcPr>
          <w:p w:rsidR="0063628B" w:rsidRDefault="0001719D" w:rsidP="00332124">
            <w:pPr>
              <w:pStyle w:val="aa"/>
              <w:spacing w:line="265" w:lineRule="auto"/>
              <w:ind w:left="0" w:right="102"/>
              <w:rPr>
                <w:rFonts w:eastAsia="Calibri"/>
                <w:lang w:eastAsia="en-US"/>
              </w:rPr>
            </w:pPr>
            <w:r>
              <w:rPr>
                <w:rFonts w:eastAsia="Calibri"/>
                <w:lang w:eastAsia="en-US"/>
              </w:rPr>
              <w:t>3.</w:t>
            </w:r>
          </w:p>
        </w:tc>
        <w:tc>
          <w:tcPr>
            <w:tcW w:w="4650" w:type="dxa"/>
          </w:tcPr>
          <w:p w:rsidR="0063628B" w:rsidRDefault="0001719D" w:rsidP="00332124">
            <w:pPr>
              <w:pStyle w:val="aa"/>
              <w:spacing w:line="265" w:lineRule="auto"/>
              <w:ind w:left="0" w:right="102"/>
              <w:rPr>
                <w:rFonts w:eastAsia="Calibri"/>
                <w:lang w:eastAsia="en-US"/>
              </w:rPr>
            </w:pPr>
            <w:r>
              <w:rPr>
                <w:rFonts w:eastAsia="Calibri"/>
                <w:lang w:eastAsia="en-US"/>
              </w:rPr>
              <w:t>…и т.п.</w:t>
            </w:r>
          </w:p>
        </w:tc>
        <w:tc>
          <w:tcPr>
            <w:tcW w:w="2279"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r>
    </w:tbl>
    <w:p w:rsidR="00332124" w:rsidRPr="00332124" w:rsidRDefault="00332124" w:rsidP="00332124">
      <w:pPr>
        <w:pStyle w:val="aa"/>
        <w:spacing w:line="265" w:lineRule="auto"/>
        <w:ind w:left="1080" w:right="102"/>
        <w:rPr>
          <w:rFonts w:eastAsia="Calibri"/>
          <w:lang w:eastAsia="en-US"/>
        </w:rPr>
      </w:pPr>
    </w:p>
    <w:p w:rsidR="007879B7" w:rsidRDefault="007879B7" w:rsidP="007879B7">
      <w:pPr>
        <w:pStyle w:val="aa"/>
        <w:numPr>
          <w:ilvl w:val="0"/>
          <w:numId w:val="70"/>
        </w:numPr>
      </w:pPr>
      <w:r>
        <w:t>Настоящим подтверждаем _____________________________</w:t>
      </w:r>
    </w:p>
    <w:p w:rsidR="007879B7" w:rsidRPr="007879B7" w:rsidRDefault="007879B7" w:rsidP="007879B7">
      <w:pPr>
        <w:pStyle w:val="aa"/>
        <w:ind w:left="1080"/>
        <w:rPr>
          <w:vertAlign w:val="superscript"/>
        </w:rPr>
      </w:pPr>
      <w:r w:rsidRPr="007879B7">
        <w:rPr>
          <w:vertAlign w:val="superscript"/>
        </w:rPr>
        <w:t xml:space="preserve">                                                </w:t>
      </w:r>
      <w:r>
        <w:rPr>
          <w:vertAlign w:val="superscript"/>
        </w:rPr>
        <w:t xml:space="preserve">                                                 </w:t>
      </w:r>
      <w:r w:rsidRPr="007879B7">
        <w:rPr>
          <w:vertAlign w:val="superscript"/>
        </w:rPr>
        <w:t xml:space="preserve">    наличие / отсутствие</w:t>
      </w:r>
    </w:p>
    <w:p w:rsidR="00C83DF5" w:rsidRDefault="007879B7" w:rsidP="007879B7">
      <w:pPr>
        <w:pStyle w:val="aa"/>
        <w:ind w:left="1080" w:hanging="1080"/>
      </w:pPr>
      <w:r w:rsidRPr="00191075">
        <w:t xml:space="preserve">рекламаций вследствие исполнения </w:t>
      </w:r>
      <w:r>
        <w:t xml:space="preserve">ранее заключенных </w:t>
      </w:r>
      <w:r w:rsidRPr="00191075">
        <w:t>договоров для ПАО «Башинформсвязь»</w:t>
      </w:r>
      <w:r>
        <w:t>.</w:t>
      </w:r>
    </w:p>
    <w:p w:rsidR="007879B7" w:rsidRPr="007879B7" w:rsidRDefault="007879B7" w:rsidP="007879B7">
      <w:pPr>
        <w:pStyle w:val="aa"/>
        <w:ind w:left="1080"/>
      </w:pPr>
    </w:p>
    <w:p w:rsidR="0063628B" w:rsidRPr="00D75183" w:rsidRDefault="0063628B"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Default="00341A9D" w:rsidP="00341A9D">
      <w:pPr>
        <w:pStyle w:val="afff0"/>
      </w:pPr>
    </w:p>
    <w:p w:rsidR="00C83DF5" w:rsidRPr="005C24A0" w:rsidRDefault="00C83DF5" w:rsidP="00341A9D">
      <w:pPr>
        <w:pStyle w:val="afff0"/>
      </w:pPr>
    </w:p>
    <w:p w:rsidR="00341A9D" w:rsidRPr="00C83DF5" w:rsidRDefault="00341A9D" w:rsidP="00341A9D">
      <w:pPr>
        <w:rPr>
          <w:color w:val="808080"/>
          <w:sz w:val="20"/>
          <w:szCs w:val="20"/>
        </w:rPr>
      </w:pPr>
      <w:r w:rsidRPr="00C83DF5">
        <w:rPr>
          <w:color w:val="808080"/>
          <w:sz w:val="20"/>
          <w:szCs w:val="20"/>
        </w:rPr>
        <w:t>ИНСТРУКЦИИ ПО ЗАПОЛНЕНИЮ:</w:t>
      </w:r>
    </w:p>
    <w:p w:rsidR="00341A9D" w:rsidRPr="00C83DF5" w:rsidRDefault="00341A9D" w:rsidP="00341A9D">
      <w:pPr>
        <w:jc w:val="both"/>
        <w:rPr>
          <w:color w:val="808080"/>
          <w:sz w:val="20"/>
          <w:szCs w:val="20"/>
        </w:rPr>
      </w:pPr>
      <w:r w:rsidRPr="00C83DF5">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83DF5" w:rsidRDefault="00341A9D" w:rsidP="00341A9D">
      <w:pPr>
        <w:jc w:val="both"/>
        <w:rPr>
          <w:color w:val="808080"/>
          <w:sz w:val="20"/>
          <w:szCs w:val="20"/>
        </w:rPr>
      </w:pPr>
      <w:r w:rsidRPr="00C83DF5">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83DF5" w:rsidRDefault="00341A9D" w:rsidP="00341A9D">
      <w:pPr>
        <w:jc w:val="both"/>
        <w:rPr>
          <w:color w:val="808080"/>
          <w:sz w:val="20"/>
          <w:szCs w:val="20"/>
        </w:rPr>
      </w:pPr>
      <w:r w:rsidRPr="00C83DF5">
        <w:rPr>
          <w:color w:val="808080"/>
          <w:sz w:val="20"/>
          <w:szCs w:val="20"/>
        </w:rPr>
        <w:t>3. Предлагаемая цена Договора должна быть указана цифрами с одновременным дублированием ее словами.</w:t>
      </w:r>
    </w:p>
    <w:p w:rsidR="008A007F" w:rsidRPr="00C83DF5" w:rsidRDefault="008A007F" w:rsidP="00341A9D">
      <w:pPr>
        <w:jc w:val="both"/>
        <w:rPr>
          <w:sz w:val="20"/>
          <w:szCs w:val="20"/>
        </w:rPr>
      </w:pPr>
    </w:p>
    <w:p w:rsidR="008A007F" w:rsidRDefault="008A007F" w:rsidP="00341A9D">
      <w:pPr>
        <w:jc w:val="both"/>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A618F4" w:rsidRDefault="00A618F4" w:rsidP="00C514CD">
      <w:pPr>
        <w:spacing w:line="240" w:lineRule="atLeast"/>
        <w:ind w:right="4"/>
        <w:rPr>
          <w:sz w:val="26"/>
          <w:szCs w:val="26"/>
        </w:rPr>
      </w:pPr>
    </w:p>
    <w:p w:rsidR="00C83DF5" w:rsidRPr="00C83DF5" w:rsidRDefault="00C83DF5" w:rsidP="00C83DF5">
      <w:pPr>
        <w:jc w:val="center"/>
        <w:rPr>
          <w:rFonts w:eastAsia="Calibri"/>
          <w:b/>
          <w:bCs/>
        </w:rPr>
      </w:pPr>
      <w:r w:rsidRPr="00C83DF5">
        <w:rPr>
          <w:rFonts w:eastAsia="Calibri"/>
          <w:b/>
          <w:bCs/>
        </w:rPr>
        <w:t>ТЕХНИЧЕСКОЕ ЗАДАНИЕ</w:t>
      </w:r>
    </w:p>
    <w:p w:rsidR="00C83DF5" w:rsidRPr="00C83DF5" w:rsidRDefault="00C83DF5" w:rsidP="00C83DF5">
      <w:pPr>
        <w:jc w:val="center"/>
        <w:rPr>
          <w:rFonts w:eastAsia="Calibri"/>
          <w:b/>
          <w:bCs/>
        </w:rPr>
      </w:pPr>
    </w:p>
    <w:tbl>
      <w:tblPr>
        <w:tblW w:w="103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3345"/>
        <w:gridCol w:w="6535"/>
      </w:tblGrid>
      <w:tr w:rsidR="0063628B" w:rsidRPr="00C83DF5" w:rsidTr="007879B7">
        <w:tc>
          <w:tcPr>
            <w:tcW w:w="10363" w:type="dxa"/>
            <w:gridSpan w:val="3"/>
            <w:shd w:val="clear" w:color="auto" w:fill="auto"/>
          </w:tcPr>
          <w:p w:rsidR="0063628B" w:rsidRPr="00191075" w:rsidRDefault="0063628B" w:rsidP="0063628B">
            <w:pPr>
              <w:jc w:val="both"/>
              <w:rPr>
                <w:b/>
                <w:i/>
              </w:rPr>
            </w:pPr>
            <w:r w:rsidRPr="00191075">
              <w:rPr>
                <w:b/>
                <w:i/>
              </w:rPr>
              <w:t>1. Общие требования по проведению работ</w:t>
            </w:r>
          </w:p>
        </w:tc>
      </w:tr>
      <w:tr w:rsidR="0063628B" w:rsidRPr="00C83DF5" w:rsidTr="007879B7">
        <w:tc>
          <w:tcPr>
            <w:tcW w:w="483" w:type="dxa"/>
            <w:shd w:val="clear" w:color="auto" w:fill="auto"/>
          </w:tcPr>
          <w:p w:rsidR="0063628B" w:rsidRPr="00191075" w:rsidRDefault="0063628B" w:rsidP="0063628B">
            <w:pPr>
              <w:jc w:val="center"/>
            </w:pPr>
          </w:p>
        </w:tc>
        <w:tc>
          <w:tcPr>
            <w:tcW w:w="3345" w:type="dxa"/>
            <w:shd w:val="clear" w:color="auto" w:fill="auto"/>
          </w:tcPr>
          <w:p w:rsidR="0063628B" w:rsidRPr="00191075" w:rsidRDefault="0063628B" w:rsidP="0063628B">
            <w:pPr>
              <w:jc w:val="center"/>
            </w:pPr>
          </w:p>
        </w:tc>
        <w:tc>
          <w:tcPr>
            <w:tcW w:w="6535" w:type="dxa"/>
            <w:shd w:val="clear" w:color="auto" w:fill="auto"/>
          </w:tcPr>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Исполнитель по выполняемым работам должен:</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разработать и представить на согласование с заказчиком проект производства работ;</w:t>
            </w:r>
          </w:p>
          <w:p w:rsidR="00E3241D" w:rsidRPr="00E3241D" w:rsidRDefault="00E3241D" w:rsidP="00E3241D">
            <w:pPr>
              <w:spacing w:after="200" w:line="276" w:lineRule="auto"/>
              <w:jc w:val="both"/>
              <w:rPr>
                <w:rFonts w:eastAsia="Calibri"/>
                <w:sz w:val="22"/>
                <w:szCs w:val="22"/>
                <w:lang w:eastAsia="en-US"/>
              </w:rPr>
            </w:pPr>
            <w:r w:rsidRPr="00E3241D">
              <w:rPr>
                <w:rFonts w:eastAsia="Calibri"/>
                <w:sz w:val="22"/>
                <w:szCs w:val="22"/>
                <w:lang w:eastAsia="en-US"/>
              </w:rPr>
              <w:t>- предоставить локальный сметный расчет на объект, указанный в Заказе, подлежащий капитальному ремонту (демонтажу и т.п.), в сроки, указанные в Заказе;</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в наличие спецодежду – экранирующие комплекты;</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выполнять работы по демонтажу специалистами, имеющими удостоверения о допуске к работам на высоте и электробезопасности (не ниже 3 группы);</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обеспечить все меры безопасности по защите близлежащих объектов и сооружений от падений конструкций, различных материалов;</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обеспечить соблюдение противопожарных норм;</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работы производить с соблюдением ПТЭ, ПТЭЭП, ПОТ РМ- 016-2001, действующих норм охраны труда и пожарной безопасности, строительных норм и правил;</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xml:space="preserve">- быть </w:t>
            </w:r>
            <w:r w:rsidR="007879B7" w:rsidRPr="0063628B">
              <w:rPr>
                <w:rFonts w:eastAsia="Calibri"/>
                <w:sz w:val="22"/>
                <w:szCs w:val="22"/>
                <w:lang w:eastAsia="en-US"/>
              </w:rPr>
              <w:t>обученным</w:t>
            </w:r>
            <w:r w:rsidRPr="0063628B">
              <w:rPr>
                <w:rFonts w:eastAsia="Calibri"/>
                <w:sz w:val="22"/>
                <w:szCs w:val="22"/>
                <w:lang w:eastAsia="en-US"/>
              </w:rPr>
              <w:t xml:space="preserve"> работе с приборами и оборудованием,</w:t>
            </w:r>
            <w:r w:rsidR="007879B7">
              <w:rPr>
                <w:rFonts w:eastAsia="Calibri"/>
                <w:sz w:val="22"/>
                <w:szCs w:val="22"/>
                <w:lang w:eastAsia="en-US"/>
              </w:rPr>
              <w:t xml:space="preserve"> </w:t>
            </w:r>
            <w:r w:rsidRPr="0063628B">
              <w:rPr>
                <w:rFonts w:eastAsia="Calibri"/>
                <w:sz w:val="22"/>
                <w:szCs w:val="22"/>
                <w:lang w:eastAsia="en-US"/>
              </w:rPr>
              <w:t>иметь соответствующие сертификаты;</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копии сертификатов, свидетельств и т.п., подтверждающих допуск к соответствующим видам работ;</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удостоверения по электробезопасности (для специалистов не ниже III группы, для мастеров не ниже IV), охране труда, на выполнение работ на высоте;</w:t>
            </w:r>
          </w:p>
          <w:p w:rsidR="0063628B" w:rsidRDefault="0063628B" w:rsidP="007879B7">
            <w:pPr>
              <w:rPr>
                <w:rFonts w:eastAsia="Calibri"/>
                <w:sz w:val="22"/>
                <w:szCs w:val="22"/>
                <w:lang w:eastAsia="en-US"/>
              </w:rPr>
            </w:pPr>
            <w:r w:rsidRPr="0063628B">
              <w:rPr>
                <w:rFonts w:eastAsia="Calibri"/>
                <w:sz w:val="22"/>
                <w:szCs w:val="22"/>
                <w:lang w:eastAsia="en-US"/>
              </w:rPr>
              <w:t>- выполненные работы должны соответствовать техническим и функциональным требованиям, предъявляемым к данным видам работ, треб</w:t>
            </w:r>
            <w:r w:rsidR="007879B7">
              <w:rPr>
                <w:rFonts w:eastAsia="Calibri"/>
                <w:sz w:val="22"/>
                <w:szCs w:val="22"/>
                <w:lang w:eastAsia="en-US"/>
              </w:rPr>
              <w:t>ованиям безопасности и экологии.</w:t>
            </w:r>
          </w:p>
          <w:p w:rsidR="007879B7" w:rsidRPr="00191075" w:rsidRDefault="007879B7" w:rsidP="007879B7"/>
        </w:tc>
      </w:tr>
      <w:tr w:rsidR="0063628B" w:rsidRPr="00C83DF5" w:rsidTr="007879B7">
        <w:tc>
          <w:tcPr>
            <w:tcW w:w="10363" w:type="dxa"/>
            <w:gridSpan w:val="3"/>
            <w:shd w:val="clear" w:color="auto" w:fill="auto"/>
          </w:tcPr>
          <w:p w:rsidR="0063628B" w:rsidRPr="00191075" w:rsidRDefault="0063628B" w:rsidP="0063628B">
            <w:pPr>
              <w:jc w:val="both"/>
              <w:rPr>
                <w:b/>
                <w:i/>
              </w:rPr>
            </w:pPr>
            <w:r>
              <w:rPr>
                <w:b/>
                <w:i/>
              </w:rPr>
              <w:t>2</w:t>
            </w:r>
            <w:r w:rsidRPr="00191075">
              <w:rPr>
                <w:b/>
                <w:i/>
              </w:rPr>
              <w:t xml:space="preserve">. Требования к </w:t>
            </w:r>
            <w:r>
              <w:rPr>
                <w:b/>
                <w:i/>
              </w:rPr>
              <w:t xml:space="preserve">Претендентам </w:t>
            </w:r>
            <w:r w:rsidRPr="00191075">
              <w:rPr>
                <w:b/>
                <w:i/>
              </w:rPr>
              <w:t>на проведение работ</w:t>
            </w:r>
          </w:p>
        </w:tc>
      </w:tr>
      <w:tr w:rsidR="007816FF" w:rsidRPr="00C83DF5" w:rsidTr="007879B7">
        <w:tc>
          <w:tcPr>
            <w:tcW w:w="483" w:type="dxa"/>
            <w:shd w:val="clear" w:color="auto" w:fill="auto"/>
          </w:tcPr>
          <w:p w:rsidR="007816FF" w:rsidRPr="00191075" w:rsidRDefault="007816FF" w:rsidP="007816FF">
            <w:pPr>
              <w:jc w:val="center"/>
            </w:pPr>
            <w:r>
              <w:t>1</w:t>
            </w:r>
          </w:p>
        </w:tc>
        <w:tc>
          <w:tcPr>
            <w:tcW w:w="3345" w:type="dxa"/>
            <w:shd w:val="clear" w:color="auto" w:fill="auto"/>
          </w:tcPr>
          <w:p w:rsidR="007816FF" w:rsidRPr="00191075" w:rsidRDefault="007816FF" w:rsidP="007816FF">
            <w:pPr>
              <w:ind w:left="5" w:right="109"/>
            </w:pPr>
            <w:r w:rsidRPr="00191075">
              <w:t xml:space="preserve">Отсутствие у претендента, </w:t>
            </w:r>
            <w:r w:rsidR="007879B7" w:rsidRPr="00191075">
              <w:t>каких-либо</w:t>
            </w:r>
            <w:r w:rsidRPr="00191075">
              <w:t xml:space="preserve"> рекламаций вследствие исполнения договоров для ПАО «Башинформсвязь»</w:t>
            </w:r>
          </w:p>
        </w:tc>
        <w:tc>
          <w:tcPr>
            <w:tcW w:w="6535" w:type="dxa"/>
            <w:shd w:val="clear" w:color="auto" w:fill="auto"/>
          </w:tcPr>
          <w:p w:rsidR="007816FF" w:rsidRPr="00191075" w:rsidRDefault="007816FF" w:rsidP="007816FF">
            <w:r w:rsidRPr="00191075">
              <w:t>Декларируется претендентом в тексте заявки</w:t>
            </w:r>
          </w:p>
        </w:tc>
      </w:tr>
      <w:tr w:rsidR="007816FF" w:rsidRPr="00C83DF5" w:rsidTr="007879B7">
        <w:tc>
          <w:tcPr>
            <w:tcW w:w="483" w:type="dxa"/>
            <w:shd w:val="clear" w:color="auto" w:fill="auto"/>
          </w:tcPr>
          <w:p w:rsidR="007816FF" w:rsidRPr="00191075" w:rsidRDefault="007816FF" w:rsidP="007816FF">
            <w:pPr>
              <w:jc w:val="center"/>
            </w:pPr>
            <w:r>
              <w:t>2</w:t>
            </w:r>
          </w:p>
        </w:tc>
        <w:tc>
          <w:tcPr>
            <w:tcW w:w="3345" w:type="dxa"/>
            <w:shd w:val="clear" w:color="auto" w:fill="auto"/>
          </w:tcPr>
          <w:p w:rsidR="007816FF" w:rsidRPr="00191075" w:rsidRDefault="007816FF" w:rsidP="007816FF">
            <w:pPr>
              <w:spacing w:line="265" w:lineRule="auto"/>
              <w:ind w:left="5" w:right="102"/>
            </w:pPr>
            <w:r w:rsidRPr="00191075">
              <w:t>Наличие инфраструктуры, собственных или привлеченных основных мат</w:t>
            </w:r>
            <w:r>
              <w:t>ериально - технических ресурсов</w:t>
            </w:r>
          </w:p>
          <w:p w:rsidR="007816FF" w:rsidRPr="00191075" w:rsidRDefault="007816FF" w:rsidP="007816FF">
            <w:pPr>
              <w:spacing w:line="258" w:lineRule="auto"/>
              <w:ind w:left="5" w:right="108"/>
            </w:pPr>
            <w:r w:rsidRPr="00191075">
              <w:t>(автотранспорта, оборудования, снаряжения) в достаточном д</w:t>
            </w:r>
            <w:r>
              <w:t>ля исполнения договора объеме.</w:t>
            </w:r>
          </w:p>
          <w:p w:rsidR="007816FF" w:rsidRPr="00191075" w:rsidRDefault="007816FF" w:rsidP="007816FF">
            <w:pPr>
              <w:spacing w:after="41"/>
              <w:ind w:left="5"/>
            </w:pPr>
            <w:r w:rsidRPr="00191075">
              <w:t>Всё снаряжение и средства индивидуальн</w:t>
            </w:r>
            <w:r>
              <w:t xml:space="preserve">ой защиты должны быть </w:t>
            </w:r>
            <w:proofErr w:type="spellStart"/>
            <w:r>
              <w:t>поверены</w:t>
            </w:r>
            <w:proofErr w:type="spellEnd"/>
            <w:r>
              <w:t>.</w:t>
            </w:r>
          </w:p>
          <w:p w:rsidR="007816FF" w:rsidRPr="00191075" w:rsidRDefault="007816FF" w:rsidP="007816FF">
            <w:pPr>
              <w:ind w:left="5"/>
            </w:pPr>
          </w:p>
        </w:tc>
        <w:tc>
          <w:tcPr>
            <w:tcW w:w="6535" w:type="dxa"/>
            <w:shd w:val="clear" w:color="auto" w:fill="auto"/>
          </w:tcPr>
          <w:p w:rsidR="007816FF" w:rsidRPr="00191075" w:rsidRDefault="007816FF" w:rsidP="007816FF">
            <w:pPr>
              <w:spacing w:after="10" w:line="253" w:lineRule="auto"/>
              <w:ind w:right="108"/>
            </w:pPr>
            <w:r w:rsidRPr="00191075">
              <w:t>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снаряжения и средств индивидуальной защи</w:t>
            </w:r>
            <w:r>
              <w:t>ты.</w:t>
            </w:r>
          </w:p>
        </w:tc>
      </w:tr>
      <w:tr w:rsidR="007816FF" w:rsidRPr="00C83DF5" w:rsidTr="007879B7">
        <w:tc>
          <w:tcPr>
            <w:tcW w:w="483" w:type="dxa"/>
            <w:shd w:val="clear" w:color="auto" w:fill="auto"/>
          </w:tcPr>
          <w:p w:rsidR="007816FF" w:rsidRPr="00191075" w:rsidRDefault="007816FF" w:rsidP="007816FF">
            <w:pPr>
              <w:jc w:val="center"/>
            </w:pPr>
            <w:r>
              <w:t>3</w:t>
            </w:r>
          </w:p>
        </w:tc>
        <w:tc>
          <w:tcPr>
            <w:tcW w:w="3345" w:type="dxa"/>
            <w:shd w:val="clear" w:color="auto" w:fill="auto"/>
          </w:tcPr>
          <w:p w:rsidR="007816FF" w:rsidRPr="00191075" w:rsidRDefault="007816FF" w:rsidP="007816FF">
            <w:pPr>
              <w:spacing w:line="265" w:lineRule="auto"/>
              <w:ind w:left="5" w:right="102"/>
            </w:pPr>
            <w:r>
              <w:t xml:space="preserve">Наличие права осуществлять строительство, реконструкцию, капитальный ремонт объектов капитального строительства </w:t>
            </w:r>
            <w:r w:rsidRPr="008B0E1D">
              <w:t>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w:t>
            </w:r>
            <w:r>
              <w:t xml:space="preserve">, </w:t>
            </w:r>
            <w:r w:rsidRPr="008B0E1D">
              <w:t xml:space="preserve">а также в отношении </w:t>
            </w:r>
            <w:r>
              <w:t>в отношении особо опасных, технически сложных и уникальных объектов (кроме объектов использования атомной энергии)</w:t>
            </w:r>
          </w:p>
        </w:tc>
        <w:tc>
          <w:tcPr>
            <w:tcW w:w="6535" w:type="dxa"/>
            <w:shd w:val="clear" w:color="auto" w:fill="auto"/>
          </w:tcPr>
          <w:p w:rsidR="007816FF" w:rsidRPr="00191075" w:rsidRDefault="007816FF" w:rsidP="007816FF">
            <w:pPr>
              <w:spacing w:after="10" w:line="253" w:lineRule="auto"/>
              <w:ind w:right="108"/>
            </w:pPr>
            <w:r>
              <w:t>Выписка из реестра членов СРО</w:t>
            </w:r>
          </w:p>
        </w:tc>
      </w:tr>
      <w:tr w:rsidR="00C83DF5" w:rsidRPr="00C83DF5" w:rsidTr="007879B7">
        <w:tc>
          <w:tcPr>
            <w:tcW w:w="483" w:type="dxa"/>
            <w:shd w:val="clear" w:color="auto" w:fill="auto"/>
          </w:tcPr>
          <w:p w:rsidR="00C83DF5" w:rsidRPr="00C83DF5" w:rsidRDefault="00C83DF5" w:rsidP="00C83DF5">
            <w:pPr>
              <w:spacing w:after="200" w:line="276" w:lineRule="auto"/>
              <w:jc w:val="center"/>
              <w:rPr>
                <w:rFonts w:eastAsia="Calibri"/>
                <w:sz w:val="22"/>
                <w:szCs w:val="22"/>
                <w:lang w:eastAsia="en-US"/>
              </w:rPr>
            </w:pPr>
          </w:p>
        </w:tc>
        <w:tc>
          <w:tcPr>
            <w:tcW w:w="3345" w:type="dxa"/>
            <w:shd w:val="clear" w:color="auto" w:fill="auto"/>
          </w:tcPr>
          <w:p w:rsidR="00C83DF5" w:rsidRPr="007879B7" w:rsidRDefault="00C83DF5" w:rsidP="00C83DF5">
            <w:pPr>
              <w:spacing w:after="200" w:line="276" w:lineRule="auto"/>
              <w:rPr>
                <w:rFonts w:eastAsia="Calibri"/>
                <w:sz w:val="22"/>
                <w:szCs w:val="22"/>
                <w:lang w:eastAsia="en-US"/>
              </w:rPr>
            </w:pPr>
            <w:r w:rsidRPr="007879B7">
              <w:rPr>
                <w:rFonts w:eastAsia="Calibri"/>
                <w:sz w:val="22"/>
                <w:szCs w:val="22"/>
                <w:lang w:eastAsia="en-US"/>
              </w:rPr>
              <w:t>Контактное лицо для информации</w:t>
            </w:r>
          </w:p>
        </w:tc>
        <w:tc>
          <w:tcPr>
            <w:tcW w:w="6535" w:type="dxa"/>
            <w:shd w:val="clear" w:color="auto" w:fill="auto"/>
          </w:tcPr>
          <w:p w:rsidR="00C83DF5" w:rsidRPr="007879B7" w:rsidRDefault="00C83DF5" w:rsidP="00C83DF5">
            <w:pPr>
              <w:spacing w:after="200" w:line="276" w:lineRule="auto"/>
              <w:jc w:val="both"/>
              <w:rPr>
                <w:rFonts w:eastAsia="Calibri"/>
                <w:sz w:val="22"/>
                <w:szCs w:val="22"/>
                <w:lang w:eastAsia="en-US"/>
              </w:rPr>
            </w:pPr>
            <w:r w:rsidRPr="007879B7">
              <w:rPr>
                <w:rFonts w:eastAsia="Calibri"/>
                <w:bCs/>
                <w:sz w:val="22"/>
                <w:szCs w:val="22"/>
                <w:lang w:eastAsia="en-US"/>
              </w:rPr>
              <w:t>г. Уфа, ул. Рабкоров 6/1, ПАО «Башинформсвязь», ТЦТЭТ, Малахов И.М. тел.(факс) 8 (347) 221-59-73</w:t>
            </w:r>
          </w:p>
        </w:tc>
      </w:tr>
    </w:tbl>
    <w:p w:rsidR="00C83DF5" w:rsidRPr="00C83DF5" w:rsidRDefault="00C83DF5" w:rsidP="00C83DF5">
      <w:pPr>
        <w:jc w:val="right"/>
        <w:rPr>
          <w:rFonts w:eastAsia="Calibri"/>
          <w:b/>
          <w:bCs/>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573BD7" w:rsidRPr="00573BD7" w:rsidRDefault="00573BD7" w:rsidP="00573BD7">
      <w:pPr>
        <w:jc w:val="center"/>
        <w:rPr>
          <w:rFonts w:eastAsia="Calibri"/>
          <w:b/>
          <w:bCs/>
        </w:rPr>
      </w:pPr>
      <w:r>
        <w:rPr>
          <w:rFonts w:eastAsia="Calibri"/>
          <w:b/>
          <w:bCs/>
        </w:rPr>
        <w:t xml:space="preserve">ОРИЕНТИРОВОЧНЫЙ </w:t>
      </w:r>
      <w:r w:rsidRPr="00573BD7">
        <w:rPr>
          <w:rFonts w:eastAsia="Calibri"/>
          <w:b/>
          <w:bCs/>
        </w:rPr>
        <w:t>ПЕРЕЧЕНЬ ОБЪЕКТОВ КАПРЕМОНТА</w:t>
      </w:r>
    </w:p>
    <w:p w:rsidR="00573BD7" w:rsidRPr="00573BD7" w:rsidRDefault="00573BD7" w:rsidP="00573BD7">
      <w:pPr>
        <w:jc w:val="center"/>
        <w:rPr>
          <w:rFonts w:eastAsia="Calibri"/>
          <w:b/>
          <w:bCs/>
        </w:rPr>
      </w:pPr>
    </w:p>
    <w:p w:rsidR="00573BD7" w:rsidRPr="00573BD7" w:rsidRDefault="00573BD7" w:rsidP="00573BD7">
      <w:pPr>
        <w:jc w:val="right"/>
        <w:rPr>
          <w:rFonts w:eastAsia="Calibri"/>
          <w:b/>
          <w:bCs/>
        </w:rPr>
      </w:pP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Дюртюли, ул. Магистральная 3, башня 83,5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 xml:space="preserve">г. Октябрьский, гора </w:t>
      </w:r>
      <w:proofErr w:type="spellStart"/>
      <w:r w:rsidRPr="00573BD7">
        <w:rPr>
          <w:rFonts w:eastAsia="Calibri"/>
          <w:bCs/>
        </w:rPr>
        <w:t>Нарыш</w:t>
      </w:r>
      <w:proofErr w:type="spellEnd"/>
      <w:r w:rsidRPr="00573BD7">
        <w:rPr>
          <w:rFonts w:eastAsia="Calibri"/>
          <w:bCs/>
        </w:rPr>
        <w:t>-Тау, башня, 50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Чекмагушевский</w:t>
      </w:r>
      <w:proofErr w:type="spellEnd"/>
      <w:r w:rsidRPr="00573BD7">
        <w:rPr>
          <w:rFonts w:eastAsia="Calibri"/>
          <w:bCs/>
        </w:rPr>
        <w:t xml:space="preserve"> район, с. </w:t>
      </w:r>
      <w:proofErr w:type="spellStart"/>
      <w:r w:rsidRPr="00573BD7">
        <w:rPr>
          <w:rFonts w:eastAsia="Calibri"/>
          <w:bCs/>
        </w:rPr>
        <w:t>Рапат</w:t>
      </w:r>
      <w:proofErr w:type="spellEnd"/>
      <w:r w:rsidRPr="00573BD7">
        <w:rPr>
          <w:rFonts w:eastAsia="Calibri"/>
          <w:bCs/>
        </w:rPr>
        <w:t>, мачта 50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Гафурийский</w:t>
      </w:r>
      <w:proofErr w:type="spellEnd"/>
      <w:r w:rsidRPr="00573BD7">
        <w:rPr>
          <w:rFonts w:eastAsia="Calibri"/>
          <w:bCs/>
        </w:rPr>
        <w:t xml:space="preserve"> район, с. Красноусольский, мачта 42,4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 xml:space="preserve">Белорецкий район, 4 км от с. Ассы, гора </w:t>
      </w:r>
      <w:proofErr w:type="spellStart"/>
      <w:r w:rsidRPr="00573BD7">
        <w:rPr>
          <w:rFonts w:eastAsia="Calibri"/>
          <w:bCs/>
        </w:rPr>
        <w:t>Шишелга</w:t>
      </w:r>
      <w:proofErr w:type="spellEnd"/>
      <w:r w:rsidRPr="00573BD7">
        <w:rPr>
          <w:rFonts w:eastAsia="Calibri"/>
          <w:bCs/>
        </w:rPr>
        <w:t>, мачта 48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Зианчуринский</w:t>
      </w:r>
      <w:proofErr w:type="spellEnd"/>
      <w:r w:rsidRPr="00573BD7">
        <w:rPr>
          <w:rFonts w:eastAsia="Calibri"/>
          <w:bCs/>
        </w:rPr>
        <w:t xml:space="preserve"> район, с. </w:t>
      </w:r>
      <w:proofErr w:type="spellStart"/>
      <w:r w:rsidRPr="00573BD7">
        <w:rPr>
          <w:rFonts w:eastAsia="Calibri"/>
          <w:bCs/>
        </w:rPr>
        <w:t>Исянгулово</w:t>
      </w:r>
      <w:proofErr w:type="spellEnd"/>
      <w:r w:rsidRPr="00573BD7">
        <w:rPr>
          <w:rFonts w:eastAsia="Calibri"/>
          <w:bCs/>
        </w:rPr>
        <w:t xml:space="preserve">, ул. </w:t>
      </w:r>
      <w:proofErr w:type="spellStart"/>
      <w:r w:rsidRPr="00573BD7">
        <w:rPr>
          <w:rFonts w:eastAsia="Calibri"/>
          <w:bCs/>
        </w:rPr>
        <w:t>М.Гафури</w:t>
      </w:r>
      <w:proofErr w:type="spellEnd"/>
      <w:r w:rsidRPr="00573BD7">
        <w:rPr>
          <w:rFonts w:eastAsia="Calibri"/>
          <w:bCs/>
        </w:rPr>
        <w:t xml:space="preserve"> 16, мачта 33,5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Зилаирский район, с. Юлдыбаево, Советская 96, мачта 81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Калтасинский</w:t>
      </w:r>
      <w:proofErr w:type="spellEnd"/>
      <w:r w:rsidRPr="00573BD7">
        <w:rPr>
          <w:rFonts w:eastAsia="Calibri"/>
          <w:bCs/>
        </w:rPr>
        <w:t xml:space="preserve"> район, д. </w:t>
      </w:r>
      <w:proofErr w:type="spellStart"/>
      <w:r w:rsidRPr="00573BD7">
        <w:rPr>
          <w:rFonts w:eastAsia="Calibri"/>
          <w:bCs/>
        </w:rPr>
        <w:t>Ст.Калтасы</w:t>
      </w:r>
      <w:proofErr w:type="spellEnd"/>
      <w:r w:rsidRPr="00573BD7">
        <w:rPr>
          <w:rFonts w:eastAsia="Calibri"/>
          <w:bCs/>
        </w:rPr>
        <w:t>, ул. Трактовая 1а, мачта 117,5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Нефтекамск, ул. Трактовая 33, мачта 30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 xml:space="preserve">Фёдоровский район, с. </w:t>
      </w:r>
      <w:proofErr w:type="spellStart"/>
      <w:r w:rsidRPr="00573BD7">
        <w:rPr>
          <w:rFonts w:eastAsia="Calibri"/>
          <w:bCs/>
        </w:rPr>
        <w:t>Фёдоровка</w:t>
      </w:r>
      <w:proofErr w:type="spellEnd"/>
      <w:r w:rsidRPr="00573BD7">
        <w:rPr>
          <w:rFonts w:eastAsia="Calibri"/>
          <w:bCs/>
        </w:rPr>
        <w:t>, башня 42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Альшеевский</w:t>
      </w:r>
      <w:proofErr w:type="spellEnd"/>
      <w:r w:rsidRPr="00573BD7">
        <w:rPr>
          <w:rFonts w:eastAsia="Calibri"/>
          <w:bCs/>
        </w:rPr>
        <w:t xml:space="preserve"> район, с. </w:t>
      </w:r>
      <w:proofErr w:type="spellStart"/>
      <w:r w:rsidRPr="00573BD7">
        <w:rPr>
          <w:rFonts w:eastAsia="Calibri"/>
          <w:bCs/>
        </w:rPr>
        <w:t>Кайраклы</w:t>
      </w:r>
      <w:proofErr w:type="spellEnd"/>
      <w:r w:rsidRPr="00573BD7">
        <w:rPr>
          <w:rFonts w:eastAsia="Calibri"/>
          <w:bCs/>
        </w:rPr>
        <w:t>, мачта 121,5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Давлекановский</w:t>
      </w:r>
      <w:proofErr w:type="spellEnd"/>
      <w:r w:rsidRPr="00573BD7">
        <w:rPr>
          <w:rFonts w:eastAsia="Calibri"/>
          <w:bCs/>
        </w:rPr>
        <w:t xml:space="preserve"> район, г. Давлеканово, мачта 121,5 м.</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Туймазинский</w:t>
      </w:r>
      <w:proofErr w:type="spellEnd"/>
      <w:r w:rsidRPr="00573BD7">
        <w:rPr>
          <w:rFonts w:eastAsia="Calibri"/>
          <w:bCs/>
        </w:rPr>
        <w:t xml:space="preserve"> район, с. </w:t>
      </w:r>
      <w:proofErr w:type="spellStart"/>
      <w:r w:rsidRPr="00573BD7">
        <w:rPr>
          <w:rFonts w:eastAsia="Calibri"/>
          <w:bCs/>
        </w:rPr>
        <w:t>Леонидовка</w:t>
      </w:r>
      <w:proofErr w:type="spellEnd"/>
      <w:r w:rsidRPr="00573BD7">
        <w:rPr>
          <w:rFonts w:eastAsia="Calibri"/>
          <w:bCs/>
        </w:rPr>
        <w:t>, мачта 90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ул. Школьная, МАР-</w:t>
      </w:r>
      <w:r>
        <w:rPr>
          <w:rFonts w:eastAsia="Calibri"/>
          <w:bCs/>
        </w:rPr>
        <w:t>1</w:t>
      </w:r>
      <w:r w:rsidRPr="00573BD7">
        <w:rPr>
          <w:rFonts w:eastAsia="Calibri"/>
          <w:bCs/>
        </w:rPr>
        <w:t>5.</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 xml:space="preserve">Уфимский район, с. </w:t>
      </w:r>
      <w:proofErr w:type="spellStart"/>
      <w:r w:rsidRPr="00573BD7">
        <w:rPr>
          <w:rFonts w:eastAsia="Calibri"/>
          <w:bCs/>
        </w:rPr>
        <w:t>Чесноковка</w:t>
      </w:r>
      <w:proofErr w:type="spellEnd"/>
      <w:r w:rsidRPr="00573BD7">
        <w:rPr>
          <w:rFonts w:eastAsia="Calibri"/>
          <w:bCs/>
        </w:rPr>
        <w:t>, АО-26</w:t>
      </w:r>
      <w:r>
        <w:rPr>
          <w:rFonts w:eastAsia="Calibri"/>
          <w:bCs/>
        </w:rPr>
        <w:t xml:space="preserve"> (СК-26)</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НУНПЗ, АО-26</w:t>
      </w:r>
      <w:r>
        <w:rPr>
          <w:rFonts w:eastAsia="Calibri"/>
          <w:bCs/>
        </w:rPr>
        <w:t xml:space="preserve"> (СК-26)</w:t>
      </w:r>
      <w:r w:rsidRPr="00573BD7">
        <w:rPr>
          <w:rFonts w:eastAsia="Calibri"/>
          <w:bCs/>
        </w:rPr>
        <w:t>.</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Уфанефтехим, АО-26</w:t>
      </w:r>
      <w:r>
        <w:rPr>
          <w:rFonts w:eastAsia="Calibri"/>
          <w:bCs/>
        </w:rPr>
        <w:t xml:space="preserve"> (СК-26)</w:t>
      </w:r>
      <w:r w:rsidRPr="00573BD7">
        <w:rPr>
          <w:rFonts w:eastAsia="Calibri"/>
          <w:bCs/>
        </w:rPr>
        <w:t>.</w:t>
      </w:r>
    </w:p>
    <w:p w:rsidR="006A3853" w:rsidRPr="00573BD7" w:rsidRDefault="006A3853" w:rsidP="006A3853">
      <w:pPr>
        <w:numPr>
          <w:ilvl w:val="0"/>
          <w:numId w:val="69"/>
        </w:numPr>
        <w:spacing w:after="200" w:line="276" w:lineRule="auto"/>
        <w:contextualSpacing/>
        <w:jc w:val="both"/>
        <w:rPr>
          <w:rFonts w:eastAsia="Calibri"/>
          <w:bCs/>
        </w:rPr>
      </w:pPr>
      <w:proofErr w:type="spellStart"/>
      <w:r w:rsidRPr="00573BD7">
        <w:rPr>
          <w:rFonts w:eastAsia="Calibri"/>
          <w:bCs/>
        </w:rPr>
        <w:t>Стерлитамакский</w:t>
      </w:r>
      <w:proofErr w:type="spellEnd"/>
      <w:r w:rsidRPr="00573BD7">
        <w:rPr>
          <w:rFonts w:eastAsia="Calibri"/>
          <w:bCs/>
        </w:rPr>
        <w:t xml:space="preserve"> р</w:t>
      </w:r>
      <w:r>
        <w:rPr>
          <w:rFonts w:eastAsia="Calibri"/>
          <w:bCs/>
        </w:rPr>
        <w:t>а</w:t>
      </w:r>
      <w:r w:rsidRPr="00573BD7">
        <w:rPr>
          <w:rFonts w:eastAsia="Calibri"/>
          <w:bCs/>
        </w:rPr>
        <w:t xml:space="preserve">йон, д. </w:t>
      </w:r>
      <w:proofErr w:type="spellStart"/>
      <w:r w:rsidRPr="00573BD7">
        <w:rPr>
          <w:rFonts w:eastAsia="Calibri"/>
          <w:bCs/>
        </w:rPr>
        <w:t>Соловьёвка</w:t>
      </w:r>
      <w:proofErr w:type="spellEnd"/>
      <w:r w:rsidRPr="00573BD7">
        <w:rPr>
          <w:rFonts w:eastAsia="Calibri"/>
          <w:bCs/>
        </w:rPr>
        <w:t>, башня 50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Учалы, АО-26</w:t>
      </w:r>
      <w:r>
        <w:rPr>
          <w:rFonts w:eastAsia="Calibri"/>
          <w:bCs/>
        </w:rPr>
        <w:t xml:space="preserve"> (СК-26)</w:t>
      </w:r>
      <w:r w:rsidRPr="00573BD7">
        <w:rPr>
          <w:rFonts w:eastAsia="Calibri"/>
          <w:bCs/>
        </w:rPr>
        <w:t>.</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Уфимский район, с. Юматово, Башня 50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Депо Зорина, башня 50 м.</w:t>
      </w:r>
    </w:p>
    <w:p w:rsidR="006A3853" w:rsidRDefault="006A3853" w:rsidP="006A3853">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B01A0F" w:rsidP="00C514CD">
      <w:pPr>
        <w:spacing w:line="240" w:lineRule="atLeast"/>
        <w:ind w:right="4"/>
        <w:rPr>
          <w:sz w:val="26"/>
          <w:szCs w:val="26"/>
        </w:rPr>
      </w:pPr>
      <w:r>
        <w:rPr>
          <w:sz w:val="26"/>
          <w:szCs w:val="26"/>
        </w:rPr>
        <w:t>Спецификация представлена в отдельном файле «Техническое задание – Спецификация»</w:t>
      </w:r>
    </w:p>
    <w:p w:rsidR="00B01A0F" w:rsidRDefault="00B01A0F"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9733C9">
      <w:pPr>
        <w:spacing w:line="276" w:lineRule="auto"/>
        <w:ind w:firstLine="567"/>
        <w:jc w:val="right"/>
        <w:rPr>
          <w:rFonts w:eastAsia="MS Mincho"/>
          <w:lang w:eastAsia="x-none"/>
        </w:rPr>
      </w:pPr>
    </w:p>
    <w:sectPr w:rsidR="00F74001" w:rsidRPr="00F74001" w:rsidSect="00576EDE">
      <w:headerReference w:type="even" r:id="rId49"/>
      <w:headerReference w:type="default" r:id="rId50"/>
      <w:footerReference w:type="default" r:id="rId51"/>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7DC" w:rsidRDefault="006E67DC" w:rsidP="00341A9D">
      <w:r>
        <w:separator/>
      </w:r>
    </w:p>
  </w:endnote>
  <w:endnote w:type="continuationSeparator" w:id="0">
    <w:p w:rsidR="006E67DC" w:rsidRDefault="006E67D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DC" w:rsidRDefault="006E67DC"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B72B1C">
      <w:rPr>
        <w:rStyle w:val="aff0"/>
        <w:noProof/>
      </w:rPr>
      <w:t>47</w:t>
    </w:r>
    <w:r>
      <w:rPr>
        <w:rStyle w:val="aff0"/>
      </w:rPr>
      <w:fldChar w:fldCharType="end"/>
    </w:r>
  </w:p>
  <w:p w:rsidR="006E67DC" w:rsidRDefault="006E67DC"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7DC" w:rsidRDefault="006E67DC" w:rsidP="00341A9D">
      <w:r>
        <w:separator/>
      </w:r>
    </w:p>
  </w:footnote>
  <w:footnote w:type="continuationSeparator" w:id="0">
    <w:p w:rsidR="006E67DC" w:rsidRDefault="006E67DC" w:rsidP="00341A9D">
      <w:r>
        <w:continuationSeparator/>
      </w:r>
    </w:p>
  </w:footnote>
  <w:footnote w:id="1">
    <w:p w:rsidR="006E67DC" w:rsidRDefault="006E67DC"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E67DC" w:rsidRPr="009831A8" w:rsidRDefault="006E67DC"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6E67DC" w:rsidRPr="00DD3C81" w:rsidRDefault="006E67DC"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DC" w:rsidRDefault="006E67DC">
    <w:pPr>
      <w:pStyle w:val="ac"/>
      <w:jc w:val="center"/>
    </w:pPr>
    <w:r>
      <w:fldChar w:fldCharType="begin"/>
    </w:r>
    <w:r>
      <w:instrText>PAGE   \* MERGEFORMAT</w:instrText>
    </w:r>
    <w:r>
      <w:fldChar w:fldCharType="separate"/>
    </w:r>
    <w:r w:rsidR="00B72B1C">
      <w:rPr>
        <w:noProof/>
      </w:rPr>
      <w:t>22</w:t>
    </w:r>
    <w:r>
      <w:fldChar w:fldCharType="end"/>
    </w:r>
  </w:p>
  <w:p w:rsidR="006E67DC" w:rsidRDefault="006E67D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DC" w:rsidRDefault="006E67DC">
    <w:pPr>
      <w:pStyle w:val="ac"/>
      <w:jc w:val="center"/>
    </w:pPr>
    <w:r>
      <w:fldChar w:fldCharType="begin"/>
    </w:r>
    <w:r>
      <w:instrText>PAGE   \* MERGEFORMAT</w:instrText>
    </w:r>
    <w:r>
      <w:fldChar w:fldCharType="separate"/>
    </w:r>
    <w:r w:rsidR="00B72B1C">
      <w:rPr>
        <w:noProof/>
      </w:rPr>
      <w:t>37</w:t>
    </w:r>
    <w:r>
      <w:fldChar w:fldCharType="end"/>
    </w:r>
  </w:p>
  <w:p w:rsidR="006E67DC" w:rsidRDefault="006E67D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DC" w:rsidRDefault="006E67DC"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E67DC" w:rsidRDefault="006E67D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DC" w:rsidRDefault="006E67DC"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B72B1C">
      <w:rPr>
        <w:rStyle w:val="aff0"/>
        <w:noProof/>
      </w:rPr>
      <w:t>47</w:t>
    </w:r>
    <w:r>
      <w:rPr>
        <w:rStyle w:val="aff0"/>
      </w:rPr>
      <w:fldChar w:fldCharType="end"/>
    </w:r>
  </w:p>
  <w:p w:rsidR="006E67DC" w:rsidRDefault="006E67D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5A82ACD"/>
    <w:multiLevelType w:val="hybridMultilevel"/>
    <w:tmpl w:val="6936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5"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2"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9"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2"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4"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6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1"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3"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5"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9"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8"/>
  </w:num>
  <w:num w:numId="2">
    <w:abstractNumId w:val="43"/>
  </w:num>
  <w:num w:numId="3">
    <w:abstractNumId w:val="39"/>
  </w:num>
  <w:num w:numId="4">
    <w:abstractNumId w:val="62"/>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7"/>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59"/>
  </w:num>
  <w:num w:numId="22">
    <w:abstractNumId w:val="1"/>
  </w:num>
  <w:num w:numId="23">
    <w:abstractNumId w:val="57"/>
  </w:num>
  <w:num w:numId="24">
    <w:abstractNumId w:val="11"/>
  </w:num>
  <w:num w:numId="25">
    <w:abstractNumId w:val="17"/>
  </w:num>
  <w:num w:numId="26">
    <w:abstractNumId w:val="29"/>
  </w:num>
  <w:num w:numId="27">
    <w:abstractNumId w:val="18"/>
  </w:num>
  <w:num w:numId="28">
    <w:abstractNumId w:val="3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4"/>
  </w:num>
  <w:num w:numId="32">
    <w:abstractNumId w:val="26"/>
  </w:num>
  <w:num w:numId="33">
    <w:abstractNumId w:val="16"/>
  </w:num>
  <w:num w:numId="34">
    <w:abstractNumId w:val="41"/>
  </w:num>
  <w:num w:numId="35">
    <w:abstractNumId w:val="55"/>
  </w:num>
  <w:num w:numId="36">
    <w:abstractNumId w:val="65"/>
  </w:num>
  <w:num w:numId="37">
    <w:abstractNumId w:val="27"/>
  </w:num>
  <w:num w:numId="38">
    <w:abstractNumId w:val="28"/>
  </w:num>
  <w:num w:numId="39">
    <w:abstractNumId w:val="67"/>
  </w:num>
  <w:num w:numId="40">
    <w:abstractNumId w:val="53"/>
  </w:num>
  <w:num w:numId="41">
    <w:abstractNumId w:val="12"/>
  </w:num>
  <w:num w:numId="42">
    <w:abstractNumId w:val="50"/>
  </w:num>
  <w:num w:numId="43">
    <w:abstractNumId w:val="58"/>
  </w:num>
  <w:num w:numId="44">
    <w:abstractNumId w:val="52"/>
  </w:num>
  <w:num w:numId="45">
    <w:abstractNumId w:val="45"/>
  </w:num>
  <w:num w:numId="46">
    <w:abstractNumId w:val="69"/>
  </w:num>
  <w:num w:numId="47">
    <w:abstractNumId w:val="10"/>
  </w:num>
  <w:num w:numId="48">
    <w:abstractNumId w:val="31"/>
  </w:num>
  <w:num w:numId="49">
    <w:abstractNumId w:val="42"/>
  </w:num>
  <w:num w:numId="50">
    <w:abstractNumId w:val="20"/>
  </w:num>
  <w:num w:numId="51">
    <w:abstractNumId w:val="49"/>
  </w:num>
  <w:num w:numId="52">
    <w:abstractNumId w:val="35"/>
  </w:num>
  <w:num w:numId="53">
    <w:abstractNumId w:val="7"/>
  </w:num>
  <w:num w:numId="54">
    <w:abstractNumId w:val="61"/>
  </w:num>
  <w:num w:numId="55">
    <w:abstractNumId w:val="56"/>
  </w:num>
  <w:num w:numId="56">
    <w:abstractNumId w:val="54"/>
  </w:num>
  <w:num w:numId="57">
    <w:abstractNumId w:val="40"/>
  </w:num>
  <w:num w:numId="58">
    <w:abstractNumId w:val="14"/>
  </w:num>
  <w:num w:numId="59">
    <w:abstractNumId w:val="9"/>
  </w:num>
  <w:num w:numId="60">
    <w:abstractNumId w:val="46"/>
  </w:num>
  <w:num w:numId="61">
    <w:abstractNumId w:val="15"/>
  </w:num>
  <w:num w:numId="62">
    <w:abstractNumId w:val="34"/>
  </w:num>
  <w:num w:numId="63">
    <w:abstractNumId w:val="21"/>
  </w:num>
  <w:num w:numId="64">
    <w:abstractNumId w:val="44"/>
  </w:num>
  <w:num w:numId="65">
    <w:abstractNumId w:val="63"/>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8"/>
  </w:num>
  <w:num w:numId="69">
    <w:abstractNumId w:val="33"/>
  </w:num>
  <w:num w:numId="70">
    <w:abstractNumId w:val="6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1719D"/>
    <w:rsid w:val="00017877"/>
    <w:rsid w:val="00027A29"/>
    <w:rsid w:val="00042B03"/>
    <w:rsid w:val="0004582B"/>
    <w:rsid w:val="0004669E"/>
    <w:rsid w:val="00047633"/>
    <w:rsid w:val="00064171"/>
    <w:rsid w:val="000664E8"/>
    <w:rsid w:val="00067E8B"/>
    <w:rsid w:val="00087B75"/>
    <w:rsid w:val="0009104E"/>
    <w:rsid w:val="0009766E"/>
    <w:rsid w:val="000A18FE"/>
    <w:rsid w:val="000A4A41"/>
    <w:rsid w:val="000B1F8A"/>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51A6"/>
    <w:rsid w:val="001F780C"/>
    <w:rsid w:val="002075C4"/>
    <w:rsid w:val="0020778D"/>
    <w:rsid w:val="0021056B"/>
    <w:rsid w:val="00210E0D"/>
    <w:rsid w:val="00212640"/>
    <w:rsid w:val="00220C55"/>
    <w:rsid w:val="00221F03"/>
    <w:rsid w:val="00246724"/>
    <w:rsid w:val="0024743E"/>
    <w:rsid w:val="00251B5F"/>
    <w:rsid w:val="002529F0"/>
    <w:rsid w:val="00260082"/>
    <w:rsid w:val="0026494D"/>
    <w:rsid w:val="0027698E"/>
    <w:rsid w:val="0027719E"/>
    <w:rsid w:val="00293405"/>
    <w:rsid w:val="00296938"/>
    <w:rsid w:val="002A0FC3"/>
    <w:rsid w:val="002B30CC"/>
    <w:rsid w:val="002B4151"/>
    <w:rsid w:val="002B6F31"/>
    <w:rsid w:val="002C2A28"/>
    <w:rsid w:val="002D2B71"/>
    <w:rsid w:val="002E119B"/>
    <w:rsid w:val="00304672"/>
    <w:rsid w:val="0030496A"/>
    <w:rsid w:val="003068E4"/>
    <w:rsid w:val="00306AFB"/>
    <w:rsid w:val="0031088F"/>
    <w:rsid w:val="0032635D"/>
    <w:rsid w:val="00332124"/>
    <w:rsid w:val="003323F5"/>
    <w:rsid w:val="003367F2"/>
    <w:rsid w:val="00341A9D"/>
    <w:rsid w:val="00351857"/>
    <w:rsid w:val="0036281D"/>
    <w:rsid w:val="00367399"/>
    <w:rsid w:val="00385177"/>
    <w:rsid w:val="00394887"/>
    <w:rsid w:val="003A194A"/>
    <w:rsid w:val="003B35D6"/>
    <w:rsid w:val="003B7B16"/>
    <w:rsid w:val="003B7E6C"/>
    <w:rsid w:val="003C0594"/>
    <w:rsid w:val="00406DC6"/>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929"/>
    <w:rsid w:val="00511BCE"/>
    <w:rsid w:val="00513B9D"/>
    <w:rsid w:val="00514053"/>
    <w:rsid w:val="00515C20"/>
    <w:rsid w:val="00517F6F"/>
    <w:rsid w:val="0052582A"/>
    <w:rsid w:val="00531584"/>
    <w:rsid w:val="0054067E"/>
    <w:rsid w:val="0054189F"/>
    <w:rsid w:val="005421CE"/>
    <w:rsid w:val="00547616"/>
    <w:rsid w:val="00551560"/>
    <w:rsid w:val="005739E2"/>
    <w:rsid w:val="00573BD7"/>
    <w:rsid w:val="00576EDE"/>
    <w:rsid w:val="005906B2"/>
    <w:rsid w:val="00594B09"/>
    <w:rsid w:val="005A08CB"/>
    <w:rsid w:val="005A499B"/>
    <w:rsid w:val="005A6E9A"/>
    <w:rsid w:val="005C023F"/>
    <w:rsid w:val="005C0949"/>
    <w:rsid w:val="005C40AD"/>
    <w:rsid w:val="005D0D4A"/>
    <w:rsid w:val="005D78B6"/>
    <w:rsid w:val="005E7354"/>
    <w:rsid w:val="005F3042"/>
    <w:rsid w:val="005F3FAA"/>
    <w:rsid w:val="005F69F2"/>
    <w:rsid w:val="006053C4"/>
    <w:rsid w:val="00611055"/>
    <w:rsid w:val="00623451"/>
    <w:rsid w:val="00630F47"/>
    <w:rsid w:val="0063628B"/>
    <w:rsid w:val="0065458D"/>
    <w:rsid w:val="00666AFA"/>
    <w:rsid w:val="00672AB8"/>
    <w:rsid w:val="00672B35"/>
    <w:rsid w:val="00673C39"/>
    <w:rsid w:val="00692E2E"/>
    <w:rsid w:val="006A3715"/>
    <w:rsid w:val="006A3853"/>
    <w:rsid w:val="006A67CE"/>
    <w:rsid w:val="006B2783"/>
    <w:rsid w:val="006B3F82"/>
    <w:rsid w:val="006B63C5"/>
    <w:rsid w:val="006C7ED0"/>
    <w:rsid w:val="006D1981"/>
    <w:rsid w:val="006D4C52"/>
    <w:rsid w:val="006D4E89"/>
    <w:rsid w:val="006E67DC"/>
    <w:rsid w:val="006F2069"/>
    <w:rsid w:val="006F4C46"/>
    <w:rsid w:val="006F5D2B"/>
    <w:rsid w:val="006F5E56"/>
    <w:rsid w:val="00711E0F"/>
    <w:rsid w:val="00712BEA"/>
    <w:rsid w:val="00716028"/>
    <w:rsid w:val="00717505"/>
    <w:rsid w:val="00720555"/>
    <w:rsid w:val="00724728"/>
    <w:rsid w:val="00733198"/>
    <w:rsid w:val="00741ED9"/>
    <w:rsid w:val="007442C1"/>
    <w:rsid w:val="00754312"/>
    <w:rsid w:val="00756DE6"/>
    <w:rsid w:val="007612FB"/>
    <w:rsid w:val="007659F6"/>
    <w:rsid w:val="007729D3"/>
    <w:rsid w:val="007771F7"/>
    <w:rsid w:val="007816FF"/>
    <w:rsid w:val="007879B7"/>
    <w:rsid w:val="00787E9A"/>
    <w:rsid w:val="007A1EF8"/>
    <w:rsid w:val="007B2C3A"/>
    <w:rsid w:val="007B3053"/>
    <w:rsid w:val="007B61BC"/>
    <w:rsid w:val="007D46BE"/>
    <w:rsid w:val="007E0603"/>
    <w:rsid w:val="007E4E5C"/>
    <w:rsid w:val="007E59E5"/>
    <w:rsid w:val="007F1D6C"/>
    <w:rsid w:val="007F261B"/>
    <w:rsid w:val="007F545E"/>
    <w:rsid w:val="007F784B"/>
    <w:rsid w:val="00801ECD"/>
    <w:rsid w:val="0080469B"/>
    <w:rsid w:val="0080648A"/>
    <w:rsid w:val="008179C5"/>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33C9"/>
    <w:rsid w:val="00976CAE"/>
    <w:rsid w:val="009807C4"/>
    <w:rsid w:val="009831A8"/>
    <w:rsid w:val="00984082"/>
    <w:rsid w:val="00986C51"/>
    <w:rsid w:val="009A2D5A"/>
    <w:rsid w:val="009A446A"/>
    <w:rsid w:val="009B5C08"/>
    <w:rsid w:val="009F5A5A"/>
    <w:rsid w:val="009F6103"/>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379D"/>
    <w:rsid w:val="00AA69EE"/>
    <w:rsid w:val="00AA79FE"/>
    <w:rsid w:val="00AB6FB5"/>
    <w:rsid w:val="00AC00E7"/>
    <w:rsid w:val="00AC48F4"/>
    <w:rsid w:val="00AD2632"/>
    <w:rsid w:val="00AD40DA"/>
    <w:rsid w:val="00AD580A"/>
    <w:rsid w:val="00AD6127"/>
    <w:rsid w:val="00B01A0F"/>
    <w:rsid w:val="00B0221A"/>
    <w:rsid w:val="00B0745A"/>
    <w:rsid w:val="00B231B6"/>
    <w:rsid w:val="00B23885"/>
    <w:rsid w:val="00B42D18"/>
    <w:rsid w:val="00B57EF2"/>
    <w:rsid w:val="00B6562B"/>
    <w:rsid w:val="00B668BA"/>
    <w:rsid w:val="00B72162"/>
    <w:rsid w:val="00B72B1C"/>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83DF5"/>
    <w:rsid w:val="00CA3B07"/>
    <w:rsid w:val="00CA58E1"/>
    <w:rsid w:val="00CB4D1E"/>
    <w:rsid w:val="00CC17DB"/>
    <w:rsid w:val="00CC59CF"/>
    <w:rsid w:val="00CD07BC"/>
    <w:rsid w:val="00CE1399"/>
    <w:rsid w:val="00CE2F5A"/>
    <w:rsid w:val="00CF3D88"/>
    <w:rsid w:val="00CF531B"/>
    <w:rsid w:val="00D140ED"/>
    <w:rsid w:val="00D22160"/>
    <w:rsid w:val="00D25FD9"/>
    <w:rsid w:val="00D370EF"/>
    <w:rsid w:val="00D37310"/>
    <w:rsid w:val="00D404DC"/>
    <w:rsid w:val="00D4210B"/>
    <w:rsid w:val="00D42B9B"/>
    <w:rsid w:val="00D43AC0"/>
    <w:rsid w:val="00D45B11"/>
    <w:rsid w:val="00D45C77"/>
    <w:rsid w:val="00D66084"/>
    <w:rsid w:val="00D742B9"/>
    <w:rsid w:val="00D75183"/>
    <w:rsid w:val="00D93845"/>
    <w:rsid w:val="00D94A44"/>
    <w:rsid w:val="00DB14C4"/>
    <w:rsid w:val="00DB2132"/>
    <w:rsid w:val="00DB4FF2"/>
    <w:rsid w:val="00DC5602"/>
    <w:rsid w:val="00DD3410"/>
    <w:rsid w:val="00DD5BA7"/>
    <w:rsid w:val="00DE62D6"/>
    <w:rsid w:val="00DE6DF3"/>
    <w:rsid w:val="00DF18F2"/>
    <w:rsid w:val="00DF713C"/>
    <w:rsid w:val="00E07545"/>
    <w:rsid w:val="00E3241D"/>
    <w:rsid w:val="00E33D86"/>
    <w:rsid w:val="00E35A46"/>
    <w:rsid w:val="00E36123"/>
    <w:rsid w:val="00E42455"/>
    <w:rsid w:val="00E42724"/>
    <w:rsid w:val="00E43CB7"/>
    <w:rsid w:val="00E455A3"/>
    <w:rsid w:val="00E5621B"/>
    <w:rsid w:val="00E606C7"/>
    <w:rsid w:val="00E66B7C"/>
    <w:rsid w:val="00E709E2"/>
    <w:rsid w:val="00E74775"/>
    <w:rsid w:val="00E90389"/>
    <w:rsid w:val="00E93EC4"/>
    <w:rsid w:val="00EA0197"/>
    <w:rsid w:val="00EA1680"/>
    <w:rsid w:val="00EB0525"/>
    <w:rsid w:val="00EB17D5"/>
    <w:rsid w:val="00EB1B64"/>
    <w:rsid w:val="00EB3BDD"/>
    <w:rsid w:val="00EC5B2D"/>
    <w:rsid w:val="00EE325A"/>
    <w:rsid w:val="00EF4F01"/>
    <w:rsid w:val="00F13947"/>
    <w:rsid w:val="00F1527C"/>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nikola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k.nikolae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CA6CE-0ECA-47CD-9DF8-4E1AB266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47</Pages>
  <Words>16339</Words>
  <Characters>93136</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62</cp:revision>
  <cp:lastPrinted>2018-05-29T04:34:00Z</cp:lastPrinted>
  <dcterms:created xsi:type="dcterms:W3CDTF">2017-05-31T05:20:00Z</dcterms:created>
  <dcterms:modified xsi:type="dcterms:W3CDTF">2018-05-29T04:34:00Z</dcterms:modified>
</cp:coreProperties>
</file>